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ED1" w:rsidRPr="006B40D6" w:rsidRDefault="008B4ED1" w:rsidP="008B4ED1">
      <w:pPr>
        <w:pStyle w:val="versales"/>
        <w:rPr>
          <w:rFonts w:ascii="Arial" w:hAnsi="Arial" w:cs="Arial"/>
          <w:color w:val="auto"/>
        </w:rPr>
      </w:pPr>
      <w:bookmarkStart w:id="0" w:name="DictamenaD8"/>
      <w:bookmarkStart w:id="1" w:name="_GoBack"/>
      <w:bookmarkEnd w:id="1"/>
      <w:r w:rsidRPr="006B40D6">
        <w:rPr>
          <w:rFonts w:ascii="Arial" w:hAnsi="Arial" w:cs="Arial"/>
          <w:color w:val="auto"/>
        </w:rPr>
        <w:t xml:space="preserve">De la Comisión de Economía, con proyecto de decreto que reforma el artículo 1165 del Código de Comercio </w:t>
      </w:r>
    </w:p>
    <w:p w:rsidR="008B4ED1" w:rsidRPr="006B40D6" w:rsidRDefault="008B4ED1" w:rsidP="008B4ED1">
      <w:pPr>
        <w:pStyle w:val="NormalWeb"/>
        <w:rPr>
          <w:rFonts w:ascii="Arial" w:hAnsi="Arial" w:cs="Arial"/>
          <w:sz w:val="22"/>
          <w:szCs w:val="22"/>
        </w:rPr>
      </w:pPr>
      <w:r w:rsidRPr="006B40D6">
        <w:rPr>
          <w:rStyle w:val="negritas"/>
          <w:rFonts w:ascii="Arial" w:hAnsi="Arial" w:cs="Arial"/>
          <w:sz w:val="22"/>
          <w:szCs w:val="22"/>
        </w:rPr>
        <w:t>Honorable Asamblea:</w:t>
      </w:r>
      <w:r w:rsidRPr="006B40D6">
        <w:rPr>
          <w:rFonts w:ascii="Arial" w:hAnsi="Arial" w:cs="Arial"/>
          <w:sz w:val="22"/>
          <w:szCs w:val="22"/>
        </w:rPr>
        <w:t xml:space="preserve"> </w:t>
      </w:r>
    </w:p>
    <w:p w:rsidR="008B4ED1" w:rsidRPr="006B40D6" w:rsidRDefault="008B4ED1" w:rsidP="008B4ED1">
      <w:pPr>
        <w:pStyle w:val="NormalWeb"/>
        <w:rPr>
          <w:rFonts w:ascii="Arial" w:hAnsi="Arial" w:cs="Arial"/>
          <w:sz w:val="22"/>
          <w:szCs w:val="22"/>
        </w:rPr>
      </w:pPr>
      <w:r w:rsidRPr="006B40D6">
        <w:rPr>
          <w:rFonts w:ascii="Arial" w:hAnsi="Arial" w:cs="Arial"/>
          <w:sz w:val="22"/>
          <w:szCs w:val="22"/>
        </w:rPr>
        <w:t>A la Comisión de Economía de la Cámara de Diputados del honorable Congreso de la Unión, correspondiente a la LXI Legislatura, con fundamento en los artículos 66 y 68 de su Reglamento, le fue turnada para su estudio y dictamen la siguiente</w:t>
      </w:r>
    </w:p>
    <w:p w:rsidR="008B4ED1" w:rsidRPr="006B40D6" w:rsidRDefault="008B4ED1" w:rsidP="008B4ED1">
      <w:pPr>
        <w:pStyle w:val="sangria"/>
        <w:rPr>
          <w:rFonts w:ascii="Arial" w:hAnsi="Arial" w:cs="Arial"/>
          <w:sz w:val="22"/>
          <w:szCs w:val="22"/>
        </w:rPr>
      </w:pPr>
      <w:r w:rsidRPr="006B40D6">
        <w:rPr>
          <w:rStyle w:val="negritas"/>
          <w:rFonts w:ascii="Arial" w:hAnsi="Arial" w:cs="Arial"/>
          <w:sz w:val="22"/>
          <w:szCs w:val="22"/>
        </w:rPr>
        <w:t xml:space="preserve">“Iniciativa con proyecto de decreto que reforma el artículo 1165 del Código de </w:t>
      </w:r>
      <w:proofErr w:type="spellStart"/>
      <w:r w:rsidRPr="006B40D6">
        <w:rPr>
          <w:rStyle w:val="negritas"/>
          <w:rFonts w:ascii="Arial" w:hAnsi="Arial" w:cs="Arial"/>
          <w:sz w:val="22"/>
          <w:szCs w:val="22"/>
        </w:rPr>
        <w:t>Comercio”</w:t>
      </w:r>
      <w:proofErr w:type="gramStart"/>
      <w:r w:rsidRPr="006B40D6">
        <w:rPr>
          <w:rStyle w:val="negritas"/>
          <w:rFonts w:ascii="Arial" w:hAnsi="Arial" w:cs="Arial"/>
          <w:sz w:val="22"/>
          <w:szCs w:val="22"/>
        </w:rPr>
        <w:t>,</w:t>
      </w:r>
      <w:r w:rsidRPr="006B40D6">
        <w:rPr>
          <w:rFonts w:ascii="Arial" w:hAnsi="Arial" w:cs="Arial"/>
          <w:sz w:val="22"/>
          <w:szCs w:val="22"/>
        </w:rPr>
        <w:t>presentada</w:t>
      </w:r>
      <w:proofErr w:type="spellEnd"/>
      <w:proofErr w:type="gramEnd"/>
      <w:r w:rsidRPr="006B40D6">
        <w:rPr>
          <w:rFonts w:ascii="Arial" w:hAnsi="Arial" w:cs="Arial"/>
          <w:sz w:val="22"/>
          <w:szCs w:val="22"/>
        </w:rPr>
        <w:t xml:space="preserve"> por el diputado Leonardo Arturo Guillén Medina, integrante del Grupo Parlamentario del Partido Acción Nacional, en fecha 4 de octubre de 2011.</w:t>
      </w:r>
    </w:p>
    <w:p w:rsidR="008B4ED1" w:rsidRPr="006B40D6" w:rsidRDefault="008B4ED1" w:rsidP="008B4ED1">
      <w:pPr>
        <w:pStyle w:val="NormalWeb"/>
        <w:rPr>
          <w:rFonts w:ascii="Arial" w:hAnsi="Arial" w:cs="Arial"/>
          <w:sz w:val="22"/>
          <w:szCs w:val="22"/>
        </w:rPr>
      </w:pPr>
      <w:r w:rsidRPr="006B40D6">
        <w:rPr>
          <w:rFonts w:ascii="Arial" w:hAnsi="Arial" w:cs="Arial"/>
          <w:sz w:val="22"/>
          <w:szCs w:val="22"/>
        </w:rPr>
        <w:t>La Comisión de Economía, con fundamento en los artículos 39 y 45, numeral 6, incisos e) y f), de la Ley Orgánica del Congreso General de los Estados Unidos Mexicanos, así como en los artículos 66, 68, 157 y 158, numeral 1, fracción IV, del Reglamento de la Cámara de Diputados del honorable Congreso de la Unión, se abocó al estudio y análisis de la Iniciativa mencionada al tenor de los siguientes:</w:t>
      </w:r>
    </w:p>
    <w:p w:rsidR="008B4ED1" w:rsidRPr="006B40D6" w:rsidRDefault="008B4ED1" w:rsidP="008B4ED1">
      <w:pPr>
        <w:pStyle w:val="centrar"/>
        <w:rPr>
          <w:rFonts w:ascii="Arial" w:hAnsi="Arial" w:cs="Arial"/>
          <w:sz w:val="22"/>
          <w:szCs w:val="22"/>
        </w:rPr>
      </w:pPr>
      <w:r w:rsidRPr="006B40D6">
        <w:rPr>
          <w:rFonts w:ascii="Arial" w:hAnsi="Arial" w:cs="Arial"/>
          <w:sz w:val="22"/>
          <w:szCs w:val="22"/>
        </w:rPr>
        <w:t>Antecedentes</w:t>
      </w:r>
    </w:p>
    <w:p w:rsidR="008B4ED1" w:rsidRPr="006B40D6" w:rsidRDefault="008B4ED1" w:rsidP="008B4ED1">
      <w:pPr>
        <w:pStyle w:val="NormalWeb"/>
        <w:rPr>
          <w:rFonts w:ascii="Arial" w:hAnsi="Arial" w:cs="Arial"/>
          <w:sz w:val="22"/>
          <w:szCs w:val="22"/>
        </w:rPr>
      </w:pPr>
      <w:r w:rsidRPr="006B40D6">
        <w:rPr>
          <w:rStyle w:val="negritas"/>
          <w:rFonts w:ascii="Arial" w:hAnsi="Arial" w:cs="Arial"/>
          <w:sz w:val="22"/>
          <w:szCs w:val="22"/>
        </w:rPr>
        <w:t>Primero.</w:t>
      </w:r>
      <w:r w:rsidRPr="006B40D6">
        <w:rPr>
          <w:rFonts w:ascii="Arial" w:hAnsi="Arial" w:cs="Arial"/>
          <w:sz w:val="22"/>
          <w:szCs w:val="22"/>
        </w:rPr>
        <w:t xml:space="preserve"> En sesión celebrada en esta Cámara de Diputados en fecha 4 de octubre de 2011, los ciudadanos secretarios de la misma dieron cuenta al pleno de esta soberanía de la iniciativa con proyecto de decreto que se mencionó en el exordio del presente dictamen. </w:t>
      </w:r>
    </w:p>
    <w:p w:rsidR="008B4ED1" w:rsidRPr="006B40D6" w:rsidRDefault="008B4ED1" w:rsidP="008B4ED1">
      <w:pPr>
        <w:pStyle w:val="NormalWeb"/>
        <w:rPr>
          <w:rFonts w:ascii="Arial" w:hAnsi="Arial" w:cs="Arial"/>
          <w:sz w:val="22"/>
          <w:szCs w:val="22"/>
        </w:rPr>
      </w:pPr>
      <w:r w:rsidRPr="006B40D6">
        <w:rPr>
          <w:rStyle w:val="negritas"/>
          <w:rFonts w:ascii="Arial" w:hAnsi="Arial" w:cs="Arial"/>
          <w:sz w:val="22"/>
          <w:szCs w:val="22"/>
        </w:rPr>
        <w:t>Segundo.</w:t>
      </w:r>
      <w:r w:rsidRPr="006B40D6">
        <w:rPr>
          <w:rFonts w:ascii="Arial" w:hAnsi="Arial" w:cs="Arial"/>
          <w:sz w:val="22"/>
          <w:szCs w:val="22"/>
        </w:rPr>
        <w:t xml:space="preserve"> El ciudadano presidente de la Mesa Directiva acordó dar el siguiente trámite: “Túrnese a la Comisión de Economía”. </w:t>
      </w:r>
    </w:p>
    <w:p w:rsidR="008B4ED1" w:rsidRPr="006B40D6" w:rsidRDefault="008B4ED1" w:rsidP="008B4ED1">
      <w:pPr>
        <w:pStyle w:val="NormalWeb"/>
        <w:rPr>
          <w:rFonts w:ascii="Arial" w:hAnsi="Arial" w:cs="Arial"/>
          <w:sz w:val="22"/>
          <w:szCs w:val="22"/>
        </w:rPr>
      </w:pPr>
      <w:r w:rsidRPr="006B40D6">
        <w:rPr>
          <w:rStyle w:val="negritas"/>
          <w:rFonts w:ascii="Arial" w:hAnsi="Arial" w:cs="Arial"/>
          <w:sz w:val="22"/>
          <w:szCs w:val="22"/>
        </w:rPr>
        <w:t>Tercero.</w:t>
      </w:r>
      <w:r w:rsidRPr="006B40D6">
        <w:rPr>
          <w:rFonts w:ascii="Arial" w:hAnsi="Arial" w:cs="Arial"/>
          <w:sz w:val="22"/>
          <w:szCs w:val="22"/>
        </w:rPr>
        <w:t xml:space="preserve"> El legislador propone en resumen lo siguiente: </w:t>
      </w:r>
    </w:p>
    <w:p w:rsidR="008B4ED1" w:rsidRPr="006B40D6" w:rsidRDefault="008B4ED1" w:rsidP="008B4ED1">
      <w:pPr>
        <w:pStyle w:val="sangria"/>
        <w:rPr>
          <w:rFonts w:ascii="Arial" w:hAnsi="Arial" w:cs="Arial"/>
          <w:sz w:val="22"/>
          <w:szCs w:val="22"/>
        </w:rPr>
      </w:pPr>
      <w:r w:rsidRPr="006B40D6">
        <w:rPr>
          <w:rFonts w:ascii="Arial" w:hAnsi="Arial" w:cs="Arial"/>
          <w:sz w:val="22"/>
          <w:szCs w:val="22"/>
        </w:rPr>
        <w:t>• Modificar el procedimiento preparatorio de juicio ejecutivo mercantil contenido en el artículo 1165 del Código de Comercio, que se refiere al que se utiliza cuando se tiene posesión de documentos privados con deuda líquida y plazo cumplido y se pretende demandar su cumplimiento, a efecto de (i) establecer que junto con el citatorio se deberá dejar cédula de notificación en la que se encuentre transcrita la orden judicial respectiva; y (ii) que se sancione al presunto deudor con el reconocimiento del adeudo cuando haya sido debidamente notificado de la fecha y hora en que se llevará a cabo la diligencia ordenada por el juez y no espere al actuario o ejecutor para su desarrollo.</w:t>
      </w:r>
    </w:p>
    <w:p w:rsidR="008B4ED1" w:rsidRPr="006B40D6" w:rsidRDefault="008B4ED1" w:rsidP="008B4ED1">
      <w:pPr>
        <w:pStyle w:val="centrar"/>
        <w:rPr>
          <w:rFonts w:ascii="Arial" w:hAnsi="Arial" w:cs="Arial"/>
          <w:sz w:val="22"/>
          <w:szCs w:val="22"/>
        </w:rPr>
      </w:pPr>
      <w:r w:rsidRPr="006B40D6">
        <w:rPr>
          <w:rFonts w:ascii="Arial" w:hAnsi="Arial" w:cs="Arial"/>
          <w:sz w:val="22"/>
          <w:szCs w:val="22"/>
        </w:rPr>
        <w:t>Consideraciones</w:t>
      </w:r>
    </w:p>
    <w:p w:rsidR="008B4ED1" w:rsidRPr="006B40D6" w:rsidRDefault="008B4ED1" w:rsidP="008B4ED1">
      <w:pPr>
        <w:pStyle w:val="NormalWeb"/>
        <w:rPr>
          <w:rFonts w:ascii="Arial" w:hAnsi="Arial" w:cs="Arial"/>
          <w:sz w:val="22"/>
          <w:szCs w:val="22"/>
        </w:rPr>
      </w:pPr>
      <w:r w:rsidRPr="006B40D6">
        <w:rPr>
          <w:rStyle w:val="negritas"/>
          <w:rFonts w:ascii="Arial" w:hAnsi="Arial" w:cs="Arial"/>
          <w:sz w:val="22"/>
          <w:szCs w:val="22"/>
        </w:rPr>
        <w:t>Primera.</w:t>
      </w:r>
      <w:r w:rsidRPr="006B40D6">
        <w:rPr>
          <w:rFonts w:ascii="Arial" w:hAnsi="Arial" w:cs="Arial"/>
          <w:sz w:val="22"/>
          <w:szCs w:val="22"/>
        </w:rPr>
        <w:t xml:space="preserve"> Que de conformidad con el numeral 3 del artículo 39 de la Ley Orgánica del Congreso General de los Estados Unidos Mexicanos, en relación con el 34 de la Ley Orgánica de la Administración Púbica Federal, la Comisión de Economía es competente para conocer sobre la Iniciativa con Proyecto mencionada en el exordio del presente dictamen.</w:t>
      </w:r>
    </w:p>
    <w:p w:rsidR="008B4ED1" w:rsidRPr="006B40D6" w:rsidRDefault="008B4ED1" w:rsidP="008B4ED1">
      <w:pPr>
        <w:pStyle w:val="NormalWeb"/>
        <w:rPr>
          <w:rFonts w:ascii="Arial" w:hAnsi="Arial" w:cs="Arial"/>
          <w:sz w:val="22"/>
          <w:szCs w:val="22"/>
        </w:rPr>
      </w:pPr>
      <w:r w:rsidRPr="006B40D6">
        <w:rPr>
          <w:rStyle w:val="negritas"/>
          <w:rFonts w:ascii="Arial" w:hAnsi="Arial" w:cs="Arial"/>
          <w:sz w:val="22"/>
          <w:szCs w:val="22"/>
        </w:rPr>
        <w:lastRenderedPageBreak/>
        <w:t>Segunda.</w:t>
      </w:r>
      <w:r w:rsidRPr="006B40D6">
        <w:rPr>
          <w:rFonts w:ascii="Arial" w:hAnsi="Arial" w:cs="Arial"/>
          <w:sz w:val="22"/>
          <w:szCs w:val="22"/>
        </w:rPr>
        <w:t xml:space="preserve"> Los diputados que integran la Comisión de Economía comparten la preocupación del proponente de agilizar los procedimientos judiciales mercantiles a fin de que sus normas puedan ser efectivamente aplicadas, por lo que consideran aprobar la reforma propuesta con los cambios que se establecen en las siguientes consideraciones. </w:t>
      </w:r>
    </w:p>
    <w:p w:rsidR="008B4ED1" w:rsidRPr="006B40D6" w:rsidRDefault="008B4ED1" w:rsidP="008B4ED1">
      <w:pPr>
        <w:pStyle w:val="sangria"/>
        <w:rPr>
          <w:rFonts w:ascii="Arial" w:hAnsi="Arial" w:cs="Arial"/>
          <w:sz w:val="22"/>
          <w:szCs w:val="22"/>
        </w:rPr>
      </w:pPr>
      <w:r w:rsidRPr="006B40D6">
        <w:rPr>
          <w:rFonts w:ascii="Arial" w:hAnsi="Arial" w:cs="Arial"/>
          <w:sz w:val="22"/>
          <w:szCs w:val="22"/>
        </w:rPr>
        <w:t>1. En efecto, el Libro Quinto del Código de Comercio contempla la regulación procesal de los juicios mercantiles y en el Capítulo X, se establecen las reglas correspondientes a los medios preparatorios de juicio, en las que se enuncian los diversos supuestos en los que es posible pedir al juez competente la realización de diligencias judiciales previas al inicio de un procedimiento jurisdiccional a efecto de que quien pretenda presentar una demanda o tema ser demandado, pueda materializar elementos de la acción que no estén completos y que van a ser necesarios durante el proceso que se vislumbra.</w:t>
      </w:r>
    </w:p>
    <w:p w:rsidR="008B4ED1" w:rsidRPr="006B40D6" w:rsidRDefault="008B4ED1" w:rsidP="008B4ED1">
      <w:pPr>
        <w:pStyle w:val="sangria"/>
        <w:rPr>
          <w:rFonts w:ascii="Arial" w:hAnsi="Arial" w:cs="Arial"/>
          <w:sz w:val="22"/>
          <w:szCs w:val="22"/>
        </w:rPr>
      </w:pPr>
      <w:r w:rsidRPr="006B40D6">
        <w:rPr>
          <w:rFonts w:ascii="Arial" w:hAnsi="Arial" w:cs="Arial"/>
          <w:sz w:val="22"/>
          <w:szCs w:val="22"/>
        </w:rPr>
        <w:t>Asimismo, en el referido Capítulo X se contemplan, en los artículos 1162 y 1165, dos procedimientos mediante los cuales quien se ostente como acreedor pueda preparar la acción a ejercer a fin de tener acceso a la vía ejecutiva, la cual le da derecho de embargar bienes durante el proceso del juicio. Uno es, pidiendo al deudor confesión judicial bajo protesta de decir verdad respecto del adeudo, y otro, pidiendo al deudor el reconocimiento de la firma, del origen y monto del adeudo, cuando se tengan documentos de deuda líquida y plazo cumplido.</w:t>
      </w:r>
    </w:p>
    <w:p w:rsidR="008B4ED1" w:rsidRPr="006B40D6" w:rsidRDefault="008B4ED1" w:rsidP="008B4ED1">
      <w:pPr>
        <w:pStyle w:val="sangria"/>
        <w:rPr>
          <w:rFonts w:ascii="Arial" w:hAnsi="Arial" w:cs="Arial"/>
          <w:sz w:val="22"/>
          <w:szCs w:val="22"/>
        </w:rPr>
      </w:pPr>
      <w:r w:rsidRPr="006B40D6">
        <w:rPr>
          <w:rFonts w:ascii="Arial" w:hAnsi="Arial" w:cs="Arial"/>
          <w:sz w:val="22"/>
          <w:szCs w:val="22"/>
        </w:rPr>
        <w:t>2. Es en el segundo de los procedimientos donde el diputado proponente pretende realizar modificaciones, pues actualmente el artículo 1165 del Código de Comercio solo establece que en la primera búsqueda del deudor que realice el actuario o ejecutor, en caso de no encontrarlo, dejará “citatorio”. Sin embargo, en la práctica algunos tribunales han interpretado que dicho “citatorio” solo debe contener la fecha y hora en la que se deberá esperar al actuario o ejecutor sin precisar los demás elementos materiales que motivan y fundamentan la orden judicial para el desarrollo del medio preparatorio.</w:t>
      </w:r>
    </w:p>
    <w:p w:rsidR="008B4ED1" w:rsidRPr="006B40D6" w:rsidRDefault="008B4ED1" w:rsidP="008B4ED1">
      <w:pPr>
        <w:pStyle w:val="sangria"/>
        <w:rPr>
          <w:rFonts w:ascii="Arial" w:hAnsi="Arial" w:cs="Arial"/>
          <w:sz w:val="22"/>
          <w:szCs w:val="22"/>
        </w:rPr>
      </w:pPr>
      <w:r w:rsidRPr="006B40D6">
        <w:rPr>
          <w:rFonts w:ascii="Arial" w:hAnsi="Arial" w:cs="Arial"/>
          <w:sz w:val="22"/>
          <w:szCs w:val="22"/>
        </w:rPr>
        <w:t>Los diputados de la Comisión de Economía estiman que ese tipo de prácticas no abonan a la certidumbre jurídica que debe operar en los procedimientos jurisdiccionales mercantiles, por lo que coinciden en que el referido citatorio no debe ser uno en el que simplemente se establezca una fecha y una hora para esperar a un supuesto servidor público, sino que también se debe dejar cédula de notificación en la que se precisen todos los elementos materiales que sirvieron de fundamento al juez que conoce de la causa para ordenar el desarrollo de la diligencia; máxime si como veremos más adelante, la falta de atención al citatorio referido estará investido de consecuencias jurídicas.</w:t>
      </w:r>
    </w:p>
    <w:p w:rsidR="008B4ED1" w:rsidRPr="006B40D6" w:rsidRDefault="008B4ED1" w:rsidP="008B4ED1">
      <w:pPr>
        <w:pStyle w:val="sangria"/>
        <w:rPr>
          <w:rFonts w:ascii="Arial" w:hAnsi="Arial" w:cs="Arial"/>
          <w:sz w:val="22"/>
          <w:szCs w:val="22"/>
        </w:rPr>
      </w:pPr>
      <w:r w:rsidRPr="006B40D6">
        <w:rPr>
          <w:rFonts w:ascii="Arial" w:hAnsi="Arial" w:cs="Arial"/>
          <w:sz w:val="22"/>
          <w:szCs w:val="22"/>
        </w:rPr>
        <w:t>3. Asimismo, se considera adecuado eliminar del dispositivo referido la parte en la que se faculta al actuario o ejecutor para que realice un máximo de cinco búsquedas, así como el que la actividad jurisdiccional no tenga consecuencias jurídicas para quien trata de evadir la acción de la justicia.</w:t>
      </w:r>
    </w:p>
    <w:p w:rsidR="008B4ED1" w:rsidRPr="006B40D6" w:rsidRDefault="008B4ED1" w:rsidP="008B4ED1">
      <w:pPr>
        <w:pStyle w:val="sangria"/>
        <w:rPr>
          <w:rFonts w:ascii="Arial" w:hAnsi="Arial" w:cs="Arial"/>
          <w:sz w:val="22"/>
          <w:szCs w:val="22"/>
        </w:rPr>
      </w:pPr>
      <w:r w:rsidRPr="006B40D6">
        <w:rPr>
          <w:rFonts w:ascii="Arial" w:hAnsi="Arial" w:cs="Arial"/>
          <w:sz w:val="22"/>
          <w:szCs w:val="22"/>
        </w:rPr>
        <w:t xml:space="preserve">En este sentido, la propuesta de que el citatorio sea para entre las cuarenta y ocho y noventa y seis horas, en lugar de las seis y setenta y dos que actualmente señala el Código, es adecuada, pues cuarenta y ocho horas son suficientes para que el deudor pueda prepararse para esperar al actuario o en su caso dejar a un representante para </w:t>
      </w:r>
      <w:r w:rsidRPr="006B40D6">
        <w:rPr>
          <w:rFonts w:ascii="Arial" w:hAnsi="Arial" w:cs="Arial"/>
          <w:sz w:val="22"/>
          <w:szCs w:val="22"/>
        </w:rPr>
        <w:lastRenderedPageBreak/>
        <w:t xml:space="preserve">que lo atienda, lo que abona a la seguridad jurídica y a cumplir con la finalidad de la norma. </w:t>
      </w:r>
    </w:p>
    <w:p w:rsidR="008B4ED1" w:rsidRPr="006B40D6" w:rsidRDefault="008B4ED1" w:rsidP="008B4ED1">
      <w:pPr>
        <w:pStyle w:val="sangria"/>
        <w:rPr>
          <w:rFonts w:ascii="Arial" w:hAnsi="Arial" w:cs="Arial"/>
          <w:sz w:val="22"/>
          <w:szCs w:val="22"/>
        </w:rPr>
      </w:pPr>
      <w:r w:rsidRPr="006B40D6">
        <w:rPr>
          <w:rFonts w:ascii="Arial" w:hAnsi="Arial" w:cs="Arial"/>
          <w:sz w:val="22"/>
          <w:szCs w:val="22"/>
        </w:rPr>
        <w:t>4. Por otra parte, se estima acertado establecer consecuencias jurídicas para el caso de que el deudor, no obstante haber sido debidamente notificado, no espere al actuario o ejecutor para el desarrollo de la diligencia, pues debe existir un total respeto a la actividad jurisdiccional que ha sido motivada por quien siente lesionado alguno de sus derechos y es precisamente la finalidad de los procesos judiciales dirimir controversias de los particulares de forma civilizada, es decir, dentro del estado de derecho; de ahí que la actitud evasiva que algunos deudores pudieran presentar debe ser sancionada y con ello incentivar la resolución de controversias dentro del marco legal.</w:t>
      </w:r>
    </w:p>
    <w:p w:rsidR="008B4ED1" w:rsidRPr="006B40D6" w:rsidRDefault="008B4ED1" w:rsidP="008B4ED1">
      <w:pPr>
        <w:pStyle w:val="sangria"/>
        <w:rPr>
          <w:rFonts w:ascii="Arial" w:hAnsi="Arial" w:cs="Arial"/>
          <w:sz w:val="22"/>
          <w:szCs w:val="22"/>
        </w:rPr>
      </w:pPr>
      <w:r w:rsidRPr="006B40D6">
        <w:rPr>
          <w:rFonts w:ascii="Arial" w:hAnsi="Arial" w:cs="Arial"/>
          <w:sz w:val="22"/>
          <w:szCs w:val="22"/>
        </w:rPr>
        <w:t xml:space="preserve">5. También, a fin de no permitir excesos en el cumplimiento de la norma y a fin de dar congruencia a la reforma que se plantea, es necesario eliminar la facultad que el actuario o ejecutor tiene para, sin necesidad de providencia judicial, pueda trasladarse a otros domicilios para encontrar al deudor, pues la pertinencia de dicha atribución se encontraba fundamentada en que no existían consecuencias jurídicas para el caso de que aquél no esperara al funcionario judicial. </w:t>
      </w:r>
    </w:p>
    <w:p w:rsidR="008B4ED1" w:rsidRPr="006B40D6" w:rsidRDefault="008B4ED1" w:rsidP="008B4ED1">
      <w:pPr>
        <w:pStyle w:val="sangria"/>
        <w:rPr>
          <w:rFonts w:ascii="Arial" w:hAnsi="Arial" w:cs="Arial"/>
          <w:sz w:val="22"/>
          <w:szCs w:val="22"/>
        </w:rPr>
      </w:pPr>
      <w:r w:rsidRPr="006B40D6">
        <w:rPr>
          <w:rFonts w:ascii="Arial" w:hAnsi="Arial" w:cs="Arial"/>
          <w:sz w:val="22"/>
          <w:szCs w:val="22"/>
        </w:rPr>
        <w:t>En este sentido, si la reforma que se propone sanciona con la certeza de la deuda a quien no atienda la diligencia ordenada por la autoridad competente, entonces el apercibimiento que se realice al deudor para ese efecto y el lugar donde se deberá llevar a cabo la diligencia, debe ser sancionado por una autoridad judicial e inclusive debe establecerse la obligación para el actuario o ejecutor de cerciorarse que el domicilio es el de la persona que se pretende notificar.</w:t>
      </w:r>
    </w:p>
    <w:p w:rsidR="008B4ED1" w:rsidRPr="006B40D6" w:rsidRDefault="008B4ED1" w:rsidP="008B4ED1">
      <w:pPr>
        <w:pStyle w:val="sangria"/>
        <w:rPr>
          <w:rFonts w:ascii="Arial" w:hAnsi="Arial" w:cs="Arial"/>
          <w:sz w:val="22"/>
          <w:szCs w:val="22"/>
        </w:rPr>
      </w:pPr>
      <w:r w:rsidRPr="006B40D6">
        <w:rPr>
          <w:rFonts w:ascii="Arial" w:hAnsi="Arial" w:cs="Arial"/>
          <w:sz w:val="22"/>
          <w:szCs w:val="22"/>
        </w:rPr>
        <w:t>6. Por lo anterior, los diputados que integran la Comisión de Economía consideran que la reforma al artículo 1165 del Código de Comercio debe quedar en los siguientes términos:</w:t>
      </w:r>
    </w:p>
    <w:p w:rsidR="008B4ED1" w:rsidRPr="006B40D6" w:rsidRDefault="008B4ED1" w:rsidP="008B4ED1">
      <w:pPr>
        <w:pStyle w:val="sangrota"/>
        <w:rPr>
          <w:rFonts w:ascii="Arial" w:hAnsi="Arial" w:cs="Arial"/>
          <w:sz w:val="22"/>
          <w:szCs w:val="22"/>
        </w:rPr>
      </w:pPr>
      <w:r w:rsidRPr="006B40D6">
        <w:rPr>
          <w:rFonts w:ascii="Arial" w:hAnsi="Arial" w:cs="Arial"/>
          <w:sz w:val="22"/>
          <w:szCs w:val="22"/>
        </w:rPr>
        <w:t>Artículo 1165. El documento privado que contenga deuda líquida y sea de plazo cumplido, permitirá al acreedor, promover medios preparatorios a juicio, exhibiendo el documento al juez a quien se le hará saber el origen del adeudo, solicitándole que ordene el reconocimiento de la firma, monto del adeudo y causa del mismo.</w:t>
      </w:r>
    </w:p>
    <w:p w:rsidR="008B4ED1" w:rsidRPr="006B40D6" w:rsidRDefault="008B4ED1" w:rsidP="008B4ED1">
      <w:pPr>
        <w:pStyle w:val="sangrota"/>
        <w:rPr>
          <w:rFonts w:ascii="Arial" w:hAnsi="Arial" w:cs="Arial"/>
          <w:sz w:val="22"/>
          <w:szCs w:val="22"/>
        </w:rPr>
      </w:pPr>
      <w:r w:rsidRPr="006B40D6">
        <w:rPr>
          <w:rFonts w:ascii="Arial" w:hAnsi="Arial" w:cs="Arial"/>
          <w:sz w:val="22"/>
          <w:szCs w:val="22"/>
        </w:rPr>
        <w:t xml:space="preserve">Para tal fin, el juez ordenará al actuario o ejecutor que se apersone en el domicilio del deudor </w:t>
      </w:r>
      <w:r w:rsidRPr="006B40D6">
        <w:rPr>
          <w:rStyle w:val="negritas"/>
          <w:rFonts w:ascii="Arial" w:hAnsi="Arial" w:cs="Arial"/>
          <w:sz w:val="22"/>
          <w:szCs w:val="22"/>
        </w:rPr>
        <w:t>y debidamente cerciorado de ser ése,</w:t>
      </w:r>
      <w:r w:rsidRPr="006B40D6">
        <w:rPr>
          <w:rFonts w:ascii="Arial" w:hAnsi="Arial" w:cs="Arial"/>
          <w:sz w:val="22"/>
          <w:szCs w:val="22"/>
        </w:rPr>
        <w:t xml:space="preserve"> se le requiera que bajo protesta de decir verdad, haga reconocimiento de su firma, así como del origen y monto del adeudo, y en el mismo acto se entregue cédula de notificación en que se encuentre transcrita la orden del juez, así como copia simple cotejada y sellada de la solicitud.</w:t>
      </w:r>
    </w:p>
    <w:p w:rsidR="008B4ED1" w:rsidRPr="006B40D6" w:rsidRDefault="008B4ED1" w:rsidP="008B4ED1">
      <w:pPr>
        <w:pStyle w:val="sangrota"/>
        <w:rPr>
          <w:rFonts w:ascii="Arial" w:hAnsi="Arial" w:cs="Arial"/>
          <w:sz w:val="22"/>
          <w:szCs w:val="22"/>
        </w:rPr>
      </w:pPr>
      <w:r w:rsidRPr="006B40D6">
        <w:rPr>
          <w:rFonts w:ascii="Arial" w:hAnsi="Arial" w:cs="Arial"/>
          <w:sz w:val="22"/>
          <w:szCs w:val="22"/>
        </w:rPr>
        <w:t xml:space="preserve">De no entenderse la diligencia personalmente con el deudor cuando se trate de persona física o del mandatario para pleitos y cobranzas o actos de dominio tratándose de personas morales o del representante legal, en otros casos, el actuario o ejecutor se abstendrá de hacer requerimiento alguno, y dejará citatorio </w:t>
      </w:r>
      <w:r w:rsidRPr="006B40D6">
        <w:rPr>
          <w:rStyle w:val="negritas"/>
          <w:rFonts w:ascii="Arial" w:hAnsi="Arial" w:cs="Arial"/>
          <w:sz w:val="22"/>
          <w:szCs w:val="22"/>
        </w:rPr>
        <w:t>y cédula de notificación en la que se transcriba la orden judicial</w:t>
      </w:r>
      <w:r w:rsidRPr="006B40D6">
        <w:rPr>
          <w:rFonts w:ascii="Arial" w:hAnsi="Arial" w:cs="Arial"/>
          <w:sz w:val="22"/>
          <w:szCs w:val="22"/>
        </w:rPr>
        <w:t xml:space="preserve"> para que ese deudor, mandatario o representante legal, lo espere para la práctica de diligencia judicial en aquellas horas que se señale en el citatorio, la que se practicará después de las cuarenta y ocho y hasta las noventa y seis horas siguientes, </w:t>
      </w:r>
      <w:r w:rsidRPr="006B40D6">
        <w:rPr>
          <w:rStyle w:val="negritas"/>
          <w:rFonts w:ascii="Arial" w:hAnsi="Arial" w:cs="Arial"/>
          <w:sz w:val="22"/>
          <w:szCs w:val="22"/>
        </w:rPr>
        <w:t xml:space="preserve">apercibiendo que para el caso de no atender la diligencia señalada, ya sea por sí mismo o por conducto </w:t>
      </w:r>
      <w:r w:rsidRPr="006B40D6">
        <w:rPr>
          <w:rStyle w:val="negritas"/>
          <w:rFonts w:ascii="Arial" w:hAnsi="Arial" w:cs="Arial"/>
          <w:sz w:val="22"/>
          <w:szCs w:val="22"/>
        </w:rPr>
        <w:lastRenderedPageBreak/>
        <w:t>de su mandatario o representante legal, se le tendrá por reconocida la certeza de la deuda.</w:t>
      </w:r>
      <w:r w:rsidRPr="006B40D6">
        <w:rPr>
          <w:rFonts w:ascii="Arial" w:hAnsi="Arial" w:cs="Arial"/>
          <w:sz w:val="22"/>
          <w:szCs w:val="22"/>
        </w:rPr>
        <w:t xml:space="preserve"> </w:t>
      </w:r>
    </w:p>
    <w:p w:rsidR="008B4ED1" w:rsidRPr="006B40D6" w:rsidRDefault="008B4ED1" w:rsidP="008B4ED1">
      <w:pPr>
        <w:pStyle w:val="sangrota"/>
        <w:rPr>
          <w:rFonts w:ascii="Arial" w:hAnsi="Arial" w:cs="Arial"/>
          <w:sz w:val="22"/>
          <w:szCs w:val="22"/>
        </w:rPr>
      </w:pPr>
      <w:r w:rsidRPr="006B40D6">
        <w:rPr>
          <w:rFonts w:ascii="Arial" w:hAnsi="Arial" w:cs="Arial"/>
          <w:sz w:val="22"/>
          <w:szCs w:val="22"/>
        </w:rPr>
        <w:t>Cuando fuere localizado el deudor, su mandatario o representante, e intimado dos veces rehúse contestar si es o no es suya la firma, se tendrá por reconocida, y así lo declarará el juez.</w:t>
      </w:r>
    </w:p>
    <w:p w:rsidR="008B4ED1" w:rsidRPr="006B40D6" w:rsidRDefault="008B4ED1" w:rsidP="008B4ED1">
      <w:pPr>
        <w:pStyle w:val="sangrota"/>
        <w:rPr>
          <w:rFonts w:ascii="Arial" w:hAnsi="Arial" w:cs="Arial"/>
          <w:sz w:val="22"/>
          <w:szCs w:val="22"/>
        </w:rPr>
      </w:pPr>
      <w:r w:rsidRPr="006B40D6">
        <w:rPr>
          <w:rFonts w:ascii="Arial" w:hAnsi="Arial" w:cs="Arial"/>
          <w:sz w:val="22"/>
          <w:szCs w:val="22"/>
        </w:rPr>
        <w:t>Cuando reconozca la firma, más no el origen o el monto del adeudo, el actuario o ejecutor lo prevendrá para que en el acto de la diligencia o dentro de los cinco días siguientes exhiba las pruebas documentales que acredite su contestación. De no exhibirse, el juez lo tendrá por cierto en la certeza de la deuda señalada, o por la cantidad que deje de acreditarse que no se adeuda, al igual que cuando reconozca la firma origen o monto del adeudo.</w:t>
      </w:r>
    </w:p>
    <w:p w:rsidR="008B4ED1" w:rsidRPr="006B40D6" w:rsidRDefault="008B4ED1" w:rsidP="008B4ED1">
      <w:pPr>
        <w:pStyle w:val="sangrota"/>
        <w:rPr>
          <w:rFonts w:ascii="Arial" w:hAnsi="Arial" w:cs="Arial"/>
          <w:sz w:val="22"/>
          <w:szCs w:val="22"/>
        </w:rPr>
      </w:pPr>
      <w:r w:rsidRPr="006B40D6">
        <w:rPr>
          <w:rFonts w:ascii="Arial" w:hAnsi="Arial" w:cs="Arial"/>
          <w:sz w:val="22"/>
          <w:szCs w:val="22"/>
        </w:rPr>
        <w:t xml:space="preserve">Cuando el deudor desconozca su firma se dejarán a salvo los derechos del </w:t>
      </w:r>
      <w:proofErr w:type="spellStart"/>
      <w:r w:rsidRPr="006B40D6">
        <w:rPr>
          <w:rFonts w:ascii="Arial" w:hAnsi="Arial" w:cs="Arial"/>
          <w:sz w:val="22"/>
          <w:szCs w:val="22"/>
        </w:rPr>
        <w:t>promovente</w:t>
      </w:r>
      <w:proofErr w:type="spellEnd"/>
      <w:r w:rsidRPr="006B40D6">
        <w:rPr>
          <w:rFonts w:ascii="Arial" w:hAnsi="Arial" w:cs="Arial"/>
          <w:sz w:val="22"/>
          <w:szCs w:val="22"/>
        </w:rPr>
        <w:t xml:space="preserve"> para que los haga valer en la vía y forma correspondiente pero de acreditarse la falsedad en que incurrió el deudor, se dará vista al Ministerio Público. </w:t>
      </w:r>
    </w:p>
    <w:p w:rsidR="008B4ED1" w:rsidRPr="006B40D6" w:rsidRDefault="008B4ED1" w:rsidP="008B4ED1">
      <w:pPr>
        <w:pStyle w:val="sangrota"/>
        <w:rPr>
          <w:rFonts w:ascii="Arial" w:hAnsi="Arial" w:cs="Arial"/>
          <w:sz w:val="22"/>
          <w:szCs w:val="22"/>
        </w:rPr>
      </w:pPr>
      <w:r w:rsidRPr="006B40D6">
        <w:rPr>
          <w:rFonts w:ascii="Arial" w:hAnsi="Arial" w:cs="Arial"/>
          <w:sz w:val="22"/>
          <w:szCs w:val="22"/>
        </w:rPr>
        <w:t>Lo mismo se hará con el mandatario o representante legal del deudor que actúe en la misma forma que lo señalado en el párrafo anterior.</w:t>
      </w:r>
    </w:p>
    <w:p w:rsidR="008B4ED1" w:rsidRPr="006B40D6" w:rsidRDefault="008B4ED1" w:rsidP="008B4ED1">
      <w:pPr>
        <w:pStyle w:val="sangrota"/>
        <w:rPr>
          <w:rFonts w:ascii="Arial" w:hAnsi="Arial" w:cs="Arial"/>
          <w:sz w:val="22"/>
          <w:szCs w:val="22"/>
        </w:rPr>
      </w:pPr>
      <w:r w:rsidRPr="006B40D6">
        <w:rPr>
          <w:rFonts w:ascii="Arial" w:hAnsi="Arial" w:cs="Arial"/>
          <w:sz w:val="22"/>
          <w:szCs w:val="22"/>
        </w:rPr>
        <w:t xml:space="preserve">Cuando se tenga por reconocida la firma o por cierta la certeza de la deuda, se ordenará la expedición de copias certificadas de todo lo actuado a favor del </w:t>
      </w:r>
      <w:proofErr w:type="spellStart"/>
      <w:r w:rsidRPr="006B40D6">
        <w:rPr>
          <w:rFonts w:ascii="Arial" w:hAnsi="Arial" w:cs="Arial"/>
          <w:sz w:val="22"/>
          <w:szCs w:val="22"/>
        </w:rPr>
        <w:t>promovente</w:t>
      </w:r>
      <w:proofErr w:type="spellEnd"/>
      <w:r w:rsidRPr="006B40D6">
        <w:rPr>
          <w:rFonts w:ascii="Arial" w:hAnsi="Arial" w:cs="Arial"/>
          <w:sz w:val="22"/>
          <w:szCs w:val="22"/>
        </w:rPr>
        <w:t xml:space="preserve"> y a su costa.</w:t>
      </w:r>
    </w:p>
    <w:p w:rsidR="008B4ED1" w:rsidRPr="006B40D6" w:rsidRDefault="008B4ED1" w:rsidP="008B4ED1">
      <w:pPr>
        <w:pStyle w:val="sangrota"/>
        <w:rPr>
          <w:rFonts w:ascii="Arial" w:hAnsi="Arial" w:cs="Arial"/>
          <w:sz w:val="22"/>
          <w:szCs w:val="22"/>
        </w:rPr>
      </w:pPr>
      <w:r w:rsidRPr="006B40D6">
        <w:rPr>
          <w:rFonts w:ascii="Arial" w:hAnsi="Arial" w:cs="Arial"/>
          <w:sz w:val="22"/>
          <w:szCs w:val="22"/>
        </w:rPr>
        <w:t xml:space="preserve">El actor formulará su demanda en vía ejecutiva, ante el mismo juez que conoció de los medios preparatorios acompañando la copia certificada como documento </w:t>
      </w:r>
      <w:proofErr w:type="spellStart"/>
      <w:r w:rsidRPr="006B40D6">
        <w:rPr>
          <w:rFonts w:ascii="Arial" w:hAnsi="Arial" w:cs="Arial"/>
          <w:sz w:val="22"/>
          <w:szCs w:val="22"/>
        </w:rPr>
        <w:t>fundatorio</w:t>
      </w:r>
      <w:proofErr w:type="spellEnd"/>
      <w:r w:rsidRPr="006B40D6">
        <w:rPr>
          <w:rFonts w:ascii="Arial" w:hAnsi="Arial" w:cs="Arial"/>
          <w:sz w:val="22"/>
          <w:szCs w:val="22"/>
        </w:rPr>
        <w:t xml:space="preserve"> de su acción, copias simples de éstas y demás que se requieran para traslado al demandado, y se acumularán los dos expedientes y en su caso se despachará auto de ejecución.</w:t>
      </w:r>
    </w:p>
    <w:p w:rsidR="008B4ED1" w:rsidRPr="006B40D6" w:rsidRDefault="008B4ED1" w:rsidP="008B4ED1">
      <w:pPr>
        <w:pStyle w:val="sangrota"/>
        <w:rPr>
          <w:rFonts w:ascii="Arial" w:hAnsi="Arial" w:cs="Arial"/>
          <w:sz w:val="22"/>
          <w:szCs w:val="22"/>
        </w:rPr>
      </w:pPr>
      <w:r w:rsidRPr="006B40D6">
        <w:rPr>
          <w:rFonts w:ascii="Arial" w:hAnsi="Arial" w:cs="Arial"/>
          <w:sz w:val="22"/>
          <w:szCs w:val="22"/>
        </w:rPr>
        <w:t>Cuando se despache auto de ejecución, se seguirá el juicio en la vía ejecutiva como marca la ley para los de su clase.</w:t>
      </w:r>
    </w:p>
    <w:p w:rsidR="008B4ED1" w:rsidRPr="006B40D6" w:rsidRDefault="008B4ED1" w:rsidP="008B4ED1">
      <w:pPr>
        <w:pStyle w:val="sangrota"/>
        <w:rPr>
          <w:rFonts w:ascii="Arial" w:hAnsi="Arial" w:cs="Arial"/>
          <w:sz w:val="22"/>
          <w:szCs w:val="22"/>
        </w:rPr>
      </w:pPr>
      <w:r w:rsidRPr="006B40D6">
        <w:rPr>
          <w:rFonts w:ascii="Arial" w:hAnsi="Arial" w:cs="Arial"/>
          <w:sz w:val="22"/>
          <w:szCs w:val="22"/>
        </w:rPr>
        <w:t>La resolución que niegue el auto de ejecución será apelable en ambos efectos y, en caso contrario, se admitirá en el efecto devolutivo de tramitación inmediata.</w:t>
      </w:r>
    </w:p>
    <w:p w:rsidR="008B4ED1" w:rsidRPr="006B40D6" w:rsidRDefault="008B4ED1" w:rsidP="008B4ED1">
      <w:pPr>
        <w:pStyle w:val="NormalWeb"/>
        <w:rPr>
          <w:rFonts w:ascii="Arial" w:hAnsi="Arial" w:cs="Arial"/>
          <w:sz w:val="22"/>
          <w:szCs w:val="22"/>
        </w:rPr>
      </w:pPr>
      <w:r w:rsidRPr="006B40D6">
        <w:rPr>
          <w:rStyle w:val="negritas"/>
          <w:rFonts w:ascii="Arial" w:hAnsi="Arial" w:cs="Arial"/>
          <w:sz w:val="22"/>
          <w:szCs w:val="22"/>
        </w:rPr>
        <w:t>Tercero.</w:t>
      </w:r>
      <w:r w:rsidRPr="006B40D6">
        <w:rPr>
          <w:rFonts w:ascii="Arial" w:hAnsi="Arial" w:cs="Arial"/>
          <w:sz w:val="22"/>
          <w:szCs w:val="22"/>
        </w:rPr>
        <w:t xml:space="preserve"> Por lo anteriormente expuesto, los diputados integrantes de la Comisión de Economía, se manifiestan por aprobar la iniciativa con proyecto de decreto mencionada en el exordio del presente dictamen en los términos siguientes</w:t>
      </w:r>
    </w:p>
    <w:p w:rsidR="008B4ED1" w:rsidRPr="006B40D6" w:rsidRDefault="008B4ED1" w:rsidP="008B4ED1">
      <w:pPr>
        <w:pStyle w:val="NormalWeb"/>
        <w:rPr>
          <w:rFonts w:ascii="Arial" w:hAnsi="Arial" w:cs="Arial"/>
          <w:sz w:val="22"/>
          <w:szCs w:val="22"/>
        </w:rPr>
      </w:pPr>
      <w:r w:rsidRPr="006B40D6">
        <w:rPr>
          <w:rStyle w:val="negritas"/>
          <w:rFonts w:ascii="Arial" w:hAnsi="Arial" w:cs="Arial"/>
          <w:sz w:val="22"/>
          <w:szCs w:val="22"/>
        </w:rPr>
        <w:t>Decreto que reforma el artículo 1165 del Código de Comercio</w:t>
      </w:r>
      <w:r w:rsidRPr="006B40D6">
        <w:rPr>
          <w:rFonts w:ascii="Arial" w:hAnsi="Arial" w:cs="Arial"/>
          <w:sz w:val="22"/>
          <w:szCs w:val="22"/>
        </w:rPr>
        <w:t xml:space="preserve"> </w:t>
      </w:r>
    </w:p>
    <w:p w:rsidR="008B4ED1" w:rsidRPr="006B40D6" w:rsidRDefault="008B4ED1" w:rsidP="008B4ED1">
      <w:pPr>
        <w:pStyle w:val="NormalWeb"/>
        <w:rPr>
          <w:rFonts w:ascii="Arial" w:hAnsi="Arial" w:cs="Arial"/>
          <w:sz w:val="22"/>
          <w:szCs w:val="22"/>
        </w:rPr>
      </w:pPr>
      <w:r w:rsidRPr="006B40D6">
        <w:rPr>
          <w:rStyle w:val="negritas"/>
          <w:rFonts w:ascii="Arial" w:hAnsi="Arial" w:cs="Arial"/>
          <w:sz w:val="22"/>
          <w:szCs w:val="22"/>
        </w:rPr>
        <w:t>Artículo Único.</w:t>
      </w:r>
      <w:r w:rsidRPr="006B40D6">
        <w:rPr>
          <w:rFonts w:ascii="Arial" w:hAnsi="Arial" w:cs="Arial"/>
          <w:sz w:val="22"/>
          <w:szCs w:val="22"/>
        </w:rPr>
        <w:t xml:space="preserve"> Se reforma el segundo y tercer párrafo del artículo 1165 del Código de Comercio, para quedar como sigue: </w:t>
      </w:r>
    </w:p>
    <w:p w:rsidR="008B4ED1" w:rsidRPr="006B40D6" w:rsidRDefault="008B4ED1" w:rsidP="008B4ED1">
      <w:pPr>
        <w:pStyle w:val="NormalWeb"/>
        <w:rPr>
          <w:rFonts w:ascii="Arial" w:hAnsi="Arial" w:cs="Arial"/>
          <w:sz w:val="22"/>
          <w:szCs w:val="22"/>
        </w:rPr>
      </w:pPr>
      <w:r w:rsidRPr="006B40D6">
        <w:rPr>
          <w:rStyle w:val="negritas"/>
          <w:rFonts w:ascii="Arial" w:hAnsi="Arial" w:cs="Arial"/>
          <w:sz w:val="22"/>
          <w:szCs w:val="22"/>
        </w:rPr>
        <w:t>Artículo 1165.</w:t>
      </w:r>
      <w:r w:rsidRPr="006B40D6">
        <w:rPr>
          <w:rFonts w:ascii="Arial" w:hAnsi="Arial" w:cs="Arial"/>
          <w:sz w:val="22"/>
          <w:szCs w:val="22"/>
        </w:rPr>
        <w:t xml:space="preserve"> ...</w:t>
      </w:r>
    </w:p>
    <w:p w:rsidR="008B4ED1" w:rsidRPr="006B40D6" w:rsidRDefault="008B4ED1" w:rsidP="008B4ED1">
      <w:pPr>
        <w:pStyle w:val="NormalWeb"/>
        <w:rPr>
          <w:rFonts w:ascii="Arial" w:hAnsi="Arial" w:cs="Arial"/>
          <w:sz w:val="22"/>
          <w:szCs w:val="22"/>
        </w:rPr>
      </w:pPr>
      <w:r w:rsidRPr="006B40D6">
        <w:rPr>
          <w:rFonts w:ascii="Arial" w:hAnsi="Arial" w:cs="Arial"/>
          <w:sz w:val="22"/>
          <w:szCs w:val="22"/>
        </w:rPr>
        <w:t xml:space="preserve">Para tal fin, el juez ordenará al actuario o ejecutor que se apersone en el domicilio del deudor </w:t>
      </w:r>
      <w:r w:rsidRPr="006B40D6">
        <w:rPr>
          <w:rStyle w:val="negritas"/>
          <w:rFonts w:ascii="Arial" w:hAnsi="Arial" w:cs="Arial"/>
          <w:sz w:val="22"/>
          <w:szCs w:val="22"/>
        </w:rPr>
        <w:t>y debidamente cerciorado de ser ése,</w:t>
      </w:r>
      <w:r w:rsidRPr="006B40D6">
        <w:rPr>
          <w:rFonts w:ascii="Arial" w:hAnsi="Arial" w:cs="Arial"/>
          <w:sz w:val="22"/>
          <w:szCs w:val="22"/>
        </w:rPr>
        <w:t xml:space="preserve"> se le requiera que bajo protesta de decir </w:t>
      </w:r>
      <w:r w:rsidRPr="006B40D6">
        <w:rPr>
          <w:rFonts w:ascii="Arial" w:hAnsi="Arial" w:cs="Arial"/>
          <w:sz w:val="22"/>
          <w:szCs w:val="22"/>
        </w:rPr>
        <w:lastRenderedPageBreak/>
        <w:t>verdad, haga reconocimiento de su firma, así como del origen y monto del adeudo, y en el mismo acto se entregue cédula de notificación en que se encuentre transcrita la orden del juez, así como copia simple cotejada y sellada de la solicitud.</w:t>
      </w:r>
    </w:p>
    <w:p w:rsidR="008B4ED1" w:rsidRPr="006B40D6" w:rsidRDefault="008B4ED1" w:rsidP="008B4ED1">
      <w:pPr>
        <w:pStyle w:val="NormalWeb"/>
        <w:rPr>
          <w:rFonts w:ascii="Arial" w:hAnsi="Arial" w:cs="Arial"/>
          <w:sz w:val="22"/>
          <w:szCs w:val="22"/>
        </w:rPr>
      </w:pPr>
      <w:r w:rsidRPr="006B40D6">
        <w:rPr>
          <w:rFonts w:ascii="Arial" w:hAnsi="Arial" w:cs="Arial"/>
          <w:sz w:val="22"/>
          <w:szCs w:val="22"/>
        </w:rPr>
        <w:t xml:space="preserve">De no entenderse la diligencia personalmente con el deudor cuando se trate de persona física o del mandatario para pleitos y cobranzas o actos de dominio tratándose de personas morales o del representante legal, en otros casos, el actuario o ejecutor se abstendrá de hacer requerimiento alguno, y dejará citatorio </w:t>
      </w:r>
      <w:r w:rsidRPr="006B40D6">
        <w:rPr>
          <w:rStyle w:val="negritas"/>
          <w:rFonts w:ascii="Arial" w:hAnsi="Arial" w:cs="Arial"/>
          <w:sz w:val="22"/>
          <w:szCs w:val="22"/>
        </w:rPr>
        <w:t>y cédula de notificación en la que se transcriba la orden judicial</w:t>
      </w:r>
      <w:r w:rsidRPr="006B40D6">
        <w:rPr>
          <w:rFonts w:ascii="Arial" w:hAnsi="Arial" w:cs="Arial"/>
          <w:sz w:val="22"/>
          <w:szCs w:val="22"/>
        </w:rPr>
        <w:t xml:space="preserve"> para que ese deudor, mandatario o representante legal, lo espere para la práctica de diligencia judicial en aquellas horas que se señale en el citatorio, la que se practicará después de las </w:t>
      </w:r>
      <w:r w:rsidRPr="006B40D6">
        <w:rPr>
          <w:rStyle w:val="negritas"/>
          <w:rFonts w:ascii="Arial" w:hAnsi="Arial" w:cs="Arial"/>
          <w:sz w:val="22"/>
          <w:szCs w:val="22"/>
        </w:rPr>
        <w:t>cuarenta y ocho y hasta las noventa y seis horas</w:t>
      </w:r>
      <w:r w:rsidRPr="006B40D6">
        <w:rPr>
          <w:rFonts w:ascii="Arial" w:hAnsi="Arial" w:cs="Arial"/>
          <w:sz w:val="22"/>
          <w:szCs w:val="22"/>
        </w:rPr>
        <w:t xml:space="preserve"> siguientes, </w:t>
      </w:r>
      <w:r w:rsidRPr="006B40D6">
        <w:rPr>
          <w:rStyle w:val="negritas"/>
          <w:rFonts w:ascii="Arial" w:hAnsi="Arial" w:cs="Arial"/>
          <w:sz w:val="22"/>
          <w:szCs w:val="22"/>
        </w:rPr>
        <w:t xml:space="preserve">apercibiendo que para el caso de no atender la diligencia señalada, ya sea por sí mismo o por conducto de su mandatario o representante legal, se le tendrá por reconocida la certeza de la deuda. </w:t>
      </w:r>
    </w:p>
    <w:p w:rsidR="008B4ED1" w:rsidRPr="006B40D6" w:rsidRDefault="008B4ED1" w:rsidP="008B4ED1">
      <w:pPr>
        <w:pStyle w:val="NormalWeb"/>
        <w:rPr>
          <w:rFonts w:ascii="Arial" w:hAnsi="Arial" w:cs="Arial"/>
          <w:sz w:val="22"/>
          <w:szCs w:val="22"/>
        </w:rPr>
      </w:pPr>
      <w:r w:rsidRPr="006B40D6">
        <w:rPr>
          <w:rFonts w:ascii="Arial" w:hAnsi="Arial" w:cs="Arial"/>
          <w:sz w:val="22"/>
          <w:szCs w:val="22"/>
        </w:rPr>
        <w:t>...</w:t>
      </w:r>
    </w:p>
    <w:p w:rsidR="008B4ED1" w:rsidRPr="006B40D6" w:rsidRDefault="008B4ED1" w:rsidP="008B4ED1">
      <w:pPr>
        <w:pStyle w:val="NormalWeb"/>
        <w:rPr>
          <w:rFonts w:ascii="Arial" w:hAnsi="Arial" w:cs="Arial"/>
          <w:sz w:val="22"/>
          <w:szCs w:val="22"/>
        </w:rPr>
      </w:pPr>
      <w:r w:rsidRPr="006B40D6">
        <w:rPr>
          <w:rFonts w:ascii="Arial" w:hAnsi="Arial" w:cs="Arial"/>
          <w:sz w:val="22"/>
          <w:szCs w:val="22"/>
        </w:rPr>
        <w:t>...</w:t>
      </w:r>
    </w:p>
    <w:p w:rsidR="008B4ED1" w:rsidRPr="006B40D6" w:rsidRDefault="008B4ED1" w:rsidP="008B4ED1">
      <w:pPr>
        <w:pStyle w:val="NormalWeb"/>
        <w:rPr>
          <w:rFonts w:ascii="Arial" w:hAnsi="Arial" w:cs="Arial"/>
          <w:sz w:val="22"/>
          <w:szCs w:val="22"/>
        </w:rPr>
      </w:pPr>
      <w:r w:rsidRPr="006B40D6">
        <w:rPr>
          <w:rFonts w:ascii="Arial" w:hAnsi="Arial" w:cs="Arial"/>
          <w:sz w:val="22"/>
          <w:szCs w:val="22"/>
        </w:rPr>
        <w:t>...</w:t>
      </w:r>
    </w:p>
    <w:p w:rsidR="008B4ED1" w:rsidRPr="006B40D6" w:rsidRDefault="008B4ED1" w:rsidP="008B4ED1">
      <w:pPr>
        <w:pStyle w:val="NormalWeb"/>
        <w:rPr>
          <w:rFonts w:ascii="Arial" w:hAnsi="Arial" w:cs="Arial"/>
          <w:sz w:val="22"/>
          <w:szCs w:val="22"/>
        </w:rPr>
      </w:pPr>
      <w:r w:rsidRPr="006B40D6">
        <w:rPr>
          <w:rFonts w:ascii="Arial" w:hAnsi="Arial" w:cs="Arial"/>
          <w:sz w:val="22"/>
          <w:szCs w:val="22"/>
        </w:rPr>
        <w:t>...</w:t>
      </w:r>
    </w:p>
    <w:p w:rsidR="008B4ED1" w:rsidRPr="006B40D6" w:rsidRDefault="008B4ED1" w:rsidP="008B4ED1">
      <w:pPr>
        <w:pStyle w:val="NormalWeb"/>
        <w:rPr>
          <w:rFonts w:ascii="Arial" w:hAnsi="Arial" w:cs="Arial"/>
          <w:sz w:val="22"/>
          <w:szCs w:val="22"/>
        </w:rPr>
      </w:pPr>
      <w:r w:rsidRPr="006B40D6">
        <w:rPr>
          <w:rFonts w:ascii="Arial" w:hAnsi="Arial" w:cs="Arial"/>
          <w:sz w:val="22"/>
          <w:szCs w:val="22"/>
        </w:rPr>
        <w:t>...</w:t>
      </w:r>
    </w:p>
    <w:p w:rsidR="008B4ED1" w:rsidRPr="006B40D6" w:rsidRDefault="008B4ED1" w:rsidP="008B4ED1">
      <w:pPr>
        <w:pStyle w:val="NormalWeb"/>
        <w:rPr>
          <w:rFonts w:ascii="Arial" w:hAnsi="Arial" w:cs="Arial"/>
          <w:sz w:val="22"/>
          <w:szCs w:val="22"/>
        </w:rPr>
      </w:pPr>
      <w:r w:rsidRPr="006B40D6">
        <w:rPr>
          <w:rFonts w:ascii="Arial" w:hAnsi="Arial" w:cs="Arial"/>
          <w:sz w:val="22"/>
          <w:szCs w:val="22"/>
        </w:rPr>
        <w:t>...</w:t>
      </w:r>
    </w:p>
    <w:p w:rsidR="008B4ED1" w:rsidRPr="006B40D6" w:rsidRDefault="008B4ED1" w:rsidP="008B4ED1">
      <w:pPr>
        <w:pStyle w:val="NormalWeb"/>
        <w:rPr>
          <w:rFonts w:ascii="Arial" w:hAnsi="Arial" w:cs="Arial"/>
          <w:sz w:val="22"/>
          <w:szCs w:val="22"/>
        </w:rPr>
      </w:pPr>
      <w:r w:rsidRPr="006B40D6">
        <w:rPr>
          <w:rFonts w:ascii="Arial" w:hAnsi="Arial" w:cs="Arial"/>
          <w:sz w:val="22"/>
          <w:szCs w:val="22"/>
        </w:rPr>
        <w:t>...</w:t>
      </w:r>
    </w:p>
    <w:p w:rsidR="008B4ED1" w:rsidRPr="006B40D6" w:rsidRDefault="008B4ED1" w:rsidP="008B4ED1">
      <w:pPr>
        <w:pStyle w:val="NormalWeb"/>
        <w:rPr>
          <w:rFonts w:ascii="Arial" w:hAnsi="Arial" w:cs="Arial"/>
          <w:sz w:val="22"/>
          <w:szCs w:val="22"/>
        </w:rPr>
      </w:pPr>
      <w:r w:rsidRPr="006B40D6">
        <w:rPr>
          <w:rFonts w:ascii="Arial" w:hAnsi="Arial" w:cs="Arial"/>
          <w:sz w:val="22"/>
          <w:szCs w:val="22"/>
        </w:rPr>
        <w:t>...</w:t>
      </w:r>
    </w:p>
    <w:p w:rsidR="008B4ED1" w:rsidRPr="006B40D6" w:rsidRDefault="008B4ED1" w:rsidP="008B4ED1">
      <w:pPr>
        <w:pStyle w:val="NormalWeb"/>
        <w:rPr>
          <w:rFonts w:ascii="Arial" w:hAnsi="Arial" w:cs="Arial"/>
          <w:sz w:val="22"/>
          <w:szCs w:val="22"/>
        </w:rPr>
      </w:pPr>
      <w:r w:rsidRPr="006B40D6">
        <w:rPr>
          <w:rStyle w:val="negritas"/>
          <w:rFonts w:ascii="Arial" w:hAnsi="Arial" w:cs="Arial"/>
          <w:sz w:val="22"/>
          <w:szCs w:val="22"/>
        </w:rPr>
        <w:t>Transitorio</w:t>
      </w:r>
      <w:r w:rsidRPr="006B40D6">
        <w:rPr>
          <w:rFonts w:ascii="Arial" w:hAnsi="Arial" w:cs="Arial"/>
          <w:sz w:val="22"/>
          <w:szCs w:val="22"/>
        </w:rPr>
        <w:t xml:space="preserve"> </w:t>
      </w:r>
    </w:p>
    <w:p w:rsidR="008B4ED1" w:rsidRPr="006B40D6" w:rsidRDefault="008B4ED1" w:rsidP="008B4ED1">
      <w:pPr>
        <w:pStyle w:val="NormalWeb"/>
        <w:rPr>
          <w:rFonts w:ascii="Arial" w:hAnsi="Arial" w:cs="Arial"/>
          <w:sz w:val="22"/>
          <w:szCs w:val="22"/>
        </w:rPr>
      </w:pPr>
      <w:r w:rsidRPr="006B40D6">
        <w:rPr>
          <w:rStyle w:val="negritas"/>
          <w:rFonts w:ascii="Arial" w:hAnsi="Arial" w:cs="Arial"/>
          <w:sz w:val="22"/>
          <w:szCs w:val="22"/>
        </w:rPr>
        <w:t>Único.</w:t>
      </w:r>
      <w:r w:rsidRPr="006B40D6">
        <w:rPr>
          <w:rFonts w:ascii="Arial" w:hAnsi="Arial" w:cs="Arial"/>
          <w:sz w:val="22"/>
          <w:szCs w:val="22"/>
        </w:rPr>
        <w:t xml:space="preserve"> El presente decreto entrará en vigor al día siguiente de su publicación en el Diario Oficial de la Federación.</w:t>
      </w:r>
    </w:p>
    <w:p w:rsidR="008B4ED1" w:rsidRPr="006B40D6" w:rsidRDefault="008B4ED1" w:rsidP="008B4ED1">
      <w:pPr>
        <w:pStyle w:val="derecha"/>
        <w:rPr>
          <w:rFonts w:ascii="Arial" w:hAnsi="Arial" w:cs="Arial"/>
          <w:sz w:val="22"/>
          <w:szCs w:val="22"/>
        </w:rPr>
      </w:pPr>
      <w:r w:rsidRPr="006B40D6">
        <w:rPr>
          <w:rFonts w:ascii="Arial" w:hAnsi="Arial" w:cs="Arial"/>
          <w:sz w:val="22"/>
          <w:szCs w:val="22"/>
        </w:rPr>
        <w:t>Dado en el Palacio Legislativo de San Lázaro, a 1 de febrero de 2012.</w:t>
      </w:r>
    </w:p>
    <w:p w:rsidR="008B4ED1" w:rsidRPr="006B40D6" w:rsidRDefault="008B4ED1" w:rsidP="008B4ED1">
      <w:pPr>
        <w:pStyle w:val="firmas"/>
        <w:rPr>
          <w:rFonts w:ascii="Arial" w:hAnsi="Arial" w:cs="Arial"/>
        </w:rPr>
      </w:pPr>
      <w:r w:rsidRPr="006B40D6">
        <w:rPr>
          <w:rFonts w:ascii="Arial" w:hAnsi="Arial" w:cs="Arial"/>
        </w:rPr>
        <w:t>La Comisión de Economía</w:t>
      </w:r>
    </w:p>
    <w:p w:rsidR="008B4ED1" w:rsidRPr="006B40D6" w:rsidRDefault="008B4ED1" w:rsidP="008B4ED1">
      <w:pPr>
        <w:pStyle w:val="firmas"/>
        <w:rPr>
          <w:rFonts w:ascii="Arial" w:hAnsi="Arial" w:cs="Arial"/>
        </w:rPr>
      </w:pPr>
      <w:r w:rsidRPr="006B40D6">
        <w:rPr>
          <w:rFonts w:ascii="Arial" w:hAnsi="Arial" w:cs="Arial"/>
        </w:rPr>
        <w:t xml:space="preserve">Diputados: Ildefonso Guajardo Villarreal (rúbrica), presidente; Alejandro Cano </w:t>
      </w:r>
      <w:proofErr w:type="spellStart"/>
      <w:r w:rsidRPr="006B40D6">
        <w:rPr>
          <w:rFonts w:ascii="Arial" w:hAnsi="Arial" w:cs="Arial"/>
        </w:rPr>
        <w:t>Ricaud</w:t>
      </w:r>
      <w:proofErr w:type="spellEnd"/>
      <w:r w:rsidRPr="006B40D6">
        <w:rPr>
          <w:rFonts w:ascii="Arial" w:hAnsi="Arial" w:cs="Arial"/>
        </w:rPr>
        <w:t xml:space="preserve"> (rúbrica), Jorge Alberto </w:t>
      </w:r>
      <w:proofErr w:type="spellStart"/>
      <w:r w:rsidRPr="006B40D6">
        <w:rPr>
          <w:rFonts w:ascii="Arial" w:hAnsi="Arial" w:cs="Arial"/>
        </w:rPr>
        <w:t>Juraidini</w:t>
      </w:r>
      <w:proofErr w:type="spellEnd"/>
      <w:r w:rsidRPr="006B40D6">
        <w:rPr>
          <w:rFonts w:ascii="Arial" w:hAnsi="Arial" w:cs="Arial"/>
        </w:rPr>
        <w:t xml:space="preserve"> </w:t>
      </w:r>
      <w:proofErr w:type="spellStart"/>
      <w:r w:rsidRPr="006B40D6">
        <w:rPr>
          <w:rFonts w:ascii="Arial" w:hAnsi="Arial" w:cs="Arial"/>
        </w:rPr>
        <w:t>Rumilla</w:t>
      </w:r>
      <w:proofErr w:type="spellEnd"/>
      <w:r w:rsidRPr="006B40D6">
        <w:rPr>
          <w:rFonts w:ascii="Arial" w:hAnsi="Arial" w:cs="Arial"/>
        </w:rPr>
        <w:t xml:space="preserve"> (rúbrica), </w:t>
      </w:r>
      <w:proofErr w:type="spellStart"/>
      <w:r w:rsidRPr="006B40D6">
        <w:rPr>
          <w:rFonts w:ascii="Arial" w:hAnsi="Arial" w:cs="Arial"/>
        </w:rPr>
        <w:t>Narcedalia</w:t>
      </w:r>
      <w:proofErr w:type="spellEnd"/>
      <w:r w:rsidRPr="006B40D6">
        <w:rPr>
          <w:rFonts w:ascii="Arial" w:hAnsi="Arial" w:cs="Arial"/>
        </w:rPr>
        <w:t xml:space="preserve"> Ramírez Pineda, Melchor Sánchez de la Fuente (rúbrica), José Luis Velasco Lino (rúbrica), Leoncio Alfonso Morán Sánchez (rúbrica), María Antonieta Pérez Reyes (rúbrica), Norma Sánchez Romero (rúbrica), Indira Vizcaíno Silva (rúbrica), Rodrigo Pérez-Alonso González (rúbrica), Jorge Antonio </w:t>
      </w:r>
      <w:proofErr w:type="spellStart"/>
      <w:r w:rsidRPr="006B40D6">
        <w:rPr>
          <w:rFonts w:ascii="Arial" w:hAnsi="Arial" w:cs="Arial"/>
        </w:rPr>
        <w:t>Kahwagi</w:t>
      </w:r>
      <w:proofErr w:type="spellEnd"/>
      <w:r w:rsidRPr="006B40D6">
        <w:rPr>
          <w:rFonts w:ascii="Arial" w:hAnsi="Arial" w:cs="Arial"/>
        </w:rPr>
        <w:t xml:space="preserve"> </w:t>
      </w:r>
      <w:proofErr w:type="spellStart"/>
      <w:r w:rsidRPr="006B40D6">
        <w:rPr>
          <w:rFonts w:ascii="Arial" w:hAnsi="Arial" w:cs="Arial"/>
        </w:rPr>
        <w:t>Macari</w:t>
      </w:r>
      <w:proofErr w:type="spellEnd"/>
      <w:r w:rsidRPr="006B40D6">
        <w:rPr>
          <w:rFonts w:ascii="Arial" w:hAnsi="Arial" w:cs="Arial"/>
        </w:rPr>
        <w:t xml:space="preserve">, secretarios; Manuel Ignacio Acosta Gutiérrez, José Antonio </w:t>
      </w:r>
      <w:proofErr w:type="spellStart"/>
      <w:r w:rsidRPr="006B40D6">
        <w:rPr>
          <w:rFonts w:ascii="Arial" w:hAnsi="Arial" w:cs="Arial"/>
        </w:rPr>
        <w:t>Arámbula</w:t>
      </w:r>
      <w:proofErr w:type="spellEnd"/>
      <w:r w:rsidRPr="006B40D6">
        <w:rPr>
          <w:rFonts w:ascii="Arial" w:hAnsi="Arial" w:cs="Arial"/>
        </w:rPr>
        <w:t xml:space="preserve"> López, Raúl Gerardo Cuadra García (rúbrica), Pavel Díaz Juárez (rúbrica), Sergio Gama </w:t>
      </w:r>
      <w:proofErr w:type="spellStart"/>
      <w:r w:rsidRPr="006B40D6">
        <w:rPr>
          <w:rFonts w:ascii="Arial" w:hAnsi="Arial" w:cs="Arial"/>
        </w:rPr>
        <w:t>Dufour</w:t>
      </w:r>
      <w:proofErr w:type="spellEnd"/>
      <w:r w:rsidRPr="006B40D6">
        <w:rPr>
          <w:rFonts w:ascii="Arial" w:hAnsi="Arial" w:cs="Arial"/>
        </w:rPr>
        <w:t xml:space="preserve">, Jorge Hernández </w:t>
      </w:r>
      <w:proofErr w:type="spellStart"/>
      <w:r w:rsidRPr="006B40D6">
        <w:rPr>
          <w:rFonts w:ascii="Arial" w:hAnsi="Arial" w:cs="Arial"/>
        </w:rPr>
        <w:t>Hernández</w:t>
      </w:r>
      <w:proofErr w:type="spellEnd"/>
      <w:r w:rsidRPr="006B40D6">
        <w:rPr>
          <w:rFonts w:ascii="Arial" w:hAnsi="Arial" w:cs="Arial"/>
        </w:rPr>
        <w:t xml:space="preserve"> (rúbrica), Susana Hurtado Vallejo (rúbrica), Ramón Jiménez López, Vidal </w:t>
      </w:r>
      <w:proofErr w:type="spellStart"/>
      <w:r w:rsidRPr="006B40D6">
        <w:rPr>
          <w:rFonts w:ascii="Arial" w:hAnsi="Arial" w:cs="Arial"/>
        </w:rPr>
        <w:t>Llerenas</w:t>
      </w:r>
      <w:proofErr w:type="spellEnd"/>
      <w:r w:rsidRPr="006B40D6">
        <w:rPr>
          <w:rFonts w:ascii="Arial" w:hAnsi="Arial" w:cs="Arial"/>
        </w:rPr>
        <w:t xml:space="preserve"> Morales, Ifigenia Martha Martínez y Hernández (rúbrica), Luis Enrique Mercado Sánchez, David </w:t>
      </w:r>
      <w:proofErr w:type="spellStart"/>
      <w:r w:rsidRPr="006B40D6">
        <w:rPr>
          <w:rFonts w:ascii="Arial" w:hAnsi="Arial" w:cs="Arial"/>
        </w:rPr>
        <w:t>Penchyna</w:t>
      </w:r>
      <w:proofErr w:type="spellEnd"/>
      <w:r w:rsidRPr="006B40D6">
        <w:rPr>
          <w:rFonts w:ascii="Arial" w:hAnsi="Arial" w:cs="Arial"/>
        </w:rPr>
        <w:t xml:space="preserve"> </w:t>
      </w:r>
      <w:proofErr w:type="spellStart"/>
      <w:r w:rsidRPr="006B40D6">
        <w:rPr>
          <w:rFonts w:ascii="Arial" w:hAnsi="Arial" w:cs="Arial"/>
        </w:rPr>
        <w:t>Grub</w:t>
      </w:r>
      <w:proofErr w:type="spellEnd"/>
      <w:r w:rsidRPr="006B40D6">
        <w:rPr>
          <w:rFonts w:ascii="Arial" w:hAnsi="Arial" w:cs="Arial"/>
        </w:rPr>
        <w:t>, Enrique Salomón Rosas Ramírez, Guillermo Raúl Ruiz de Teresa (rúbrica), David Ricardo Sánchez Guevara (rúbrica).</w:t>
      </w:r>
    </w:p>
    <w:bookmarkEnd w:id="0"/>
    <w:p w:rsidR="008068BD" w:rsidRPr="006B40D6" w:rsidRDefault="006978A9">
      <w:pPr>
        <w:rPr>
          <w:rFonts w:ascii="Arial" w:hAnsi="Arial" w:cs="Arial"/>
        </w:rPr>
      </w:pPr>
    </w:p>
    <w:sectPr w:rsidR="008068BD" w:rsidRPr="006B40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D1"/>
    <w:rsid w:val="006978A9"/>
    <w:rsid w:val="006B40D6"/>
    <w:rsid w:val="007700A4"/>
    <w:rsid w:val="008B4ED1"/>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B4ED1"/>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8B4ED1"/>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8B4ED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8B4ED1"/>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8B4ED1"/>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8B4ED1"/>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ta">
    <w:name w:val="sangrota"/>
    <w:basedOn w:val="Normal"/>
    <w:rsid w:val="008B4ED1"/>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8B4E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B4ED1"/>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8B4ED1"/>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8B4ED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8B4ED1"/>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8B4ED1"/>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8B4ED1"/>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ta">
    <w:name w:val="sangrota"/>
    <w:basedOn w:val="Normal"/>
    <w:rsid w:val="008B4ED1"/>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8B4E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737663">
      <w:bodyDiv w:val="1"/>
      <w:marLeft w:val="150"/>
      <w:marRight w:val="150"/>
      <w:marTop w:val="0"/>
      <w:marBottom w:val="0"/>
      <w:divBdr>
        <w:top w:val="none" w:sz="0" w:space="0" w:color="auto"/>
        <w:left w:val="none" w:sz="0" w:space="0" w:color="auto"/>
        <w:bottom w:val="none" w:sz="0" w:space="0" w:color="auto"/>
        <w:right w:val="none" w:sz="0" w:space="0" w:color="auto"/>
      </w:divBdr>
      <w:divsChild>
        <w:div w:id="1992051205">
          <w:marLeft w:val="0"/>
          <w:marRight w:val="0"/>
          <w:marTop w:val="0"/>
          <w:marBottom w:val="0"/>
          <w:divBdr>
            <w:top w:val="none" w:sz="0" w:space="0" w:color="auto"/>
            <w:left w:val="none" w:sz="0" w:space="0" w:color="auto"/>
            <w:bottom w:val="none" w:sz="0" w:space="0" w:color="auto"/>
            <w:right w:val="none" w:sz="0" w:space="0" w:color="auto"/>
          </w:divBdr>
          <w:divsChild>
            <w:div w:id="1021588844">
              <w:marLeft w:val="0"/>
              <w:marRight w:val="0"/>
              <w:marTop w:val="0"/>
              <w:marBottom w:val="0"/>
              <w:divBdr>
                <w:top w:val="none" w:sz="0" w:space="0" w:color="auto"/>
                <w:left w:val="none" w:sz="0" w:space="0" w:color="auto"/>
                <w:bottom w:val="none" w:sz="0" w:space="0" w:color="auto"/>
                <w:right w:val="none" w:sz="0" w:space="0" w:color="auto"/>
              </w:divBdr>
              <w:divsChild>
                <w:div w:id="403794039">
                  <w:marLeft w:val="0"/>
                  <w:marRight w:val="0"/>
                  <w:marTop w:val="1500"/>
                  <w:marBottom w:val="0"/>
                  <w:divBdr>
                    <w:top w:val="none" w:sz="0" w:space="0" w:color="auto"/>
                    <w:left w:val="none" w:sz="0" w:space="0" w:color="auto"/>
                    <w:bottom w:val="none" w:sz="0" w:space="0" w:color="auto"/>
                    <w:right w:val="none" w:sz="0" w:space="0" w:color="auto"/>
                  </w:divBdr>
                  <w:divsChild>
                    <w:div w:id="556822887">
                      <w:marLeft w:val="0"/>
                      <w:marRight w:val="0"/>
                      <w:marTop w:val="1500"/>
                      <w:marBottom w:val="0"/>
                      <w:divBdr>
                        <w:top w:val="none" w:sz="0" w:space="0" w:color="auto"/>
                        <w:left w:val="none" w:sz="0" w:space="0" w:color="auto"/>
                        <w:bottom w:val="none" w:sz="0" w:space="0" w:color="auto"/>
                        <w:right w:val="none" w:sz="0" w:space="0" w:color="auto"/>
                      </w:divBdr>
                      <w:divsChild>
                        <w:div w:id="1317877651">
                          <w:marLeft w:val="0"/>
                          <w:marRight w:val="0"/>
                          <w:marTop w:val="1500"/>
                          <w:marBottom w:val="0"/>
                          <w:divBdr>
                            <w:top w:val="none" w:sz="0" w:space="0" w:color="auto"/>
                            <w:left w:val="none" w:sz="0" w:space="0" w:color="auto"/>
                            <w:bottom w:val="none" w:sz="0" w:space="0" w:color="auto"/>
                            <w:right w:val="none" w:sz="0" w:space="0" w:color="auto"/>
                          </w:divBdr>
                          <w:divsChild>
                            <w:div w:id="2048211273">
                              <w:marLeft w:val="0"/>
                              <w:marRight w:val="0"/>
                              <w:marTop w:val="1500"/>
                              <w:marBottom w:val="0"/>
                              <w:divBdr>
                                <w:top w:val="none" w:sz="0" w:space="0" w:color="auto"/>
                                <w:left w:val="none" w:sz="0" w:space="0" w:color="auto"/>
                                <w:bottom w:val="none" w:sz="0" w:space="0" w:color="auto"/>
                                <w:right w:val="none" w:sz="0" w:space="0" w:color="auto"/>
                              </w:divBdr>
                              <w:divsChild>
                                <w:div w:id="1083066269">
                                  <w:marLeft w:val="0"/>
                                  <w:marRight w:val="0"/>
                                  <w:marTop w:val="1500"/>
                                  <w:marBottom w:val="0"/>
                                  <w:divBdr>
                                    <w:top w:val="none" w:sz="0" w:space="0" w:color="auto"/>
                                    <w:left w:val="none" w:sz="0" w:space="0" w:color="auto"/>
                                    <w:bottom w:val="none" w:sz="0" w:space="0" w:color="auto"/>
                                    <w:right w:val="none" w:sz="0" w:space="0" w:color="auto"/>
                                  </w:divBdr>
                                  <w:divsChild>
                                    <w:div w:id="924612331">
                                      <w:marLeft w:val="0"/>
                                      <w:marRight w:val="0"/>
                                      <w:marTop w:val="1500"/>
                                      <w:marBottom w:val="0"/>
                                      <w:divBdr>
                                        <w:top w:val="none" w:sz="0" w:space="0" w:color="auto"/>
                                        <w:left w:val="none" w:sz="0" w:space="0" w:color="auto"/>
                                        <w:bottom w:val="none" w:sz="0" w:space="0" w:color="auto"/>
                                        <w:right w:val="none" w:sz="0" w:space="0" w:color="auto"/>
                                      </w:divBdr>
                                      <w:divsChild>
                                        <w:div w:id="423890449">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2169</Words>
  <Characters>11934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eventos</cp:lastModifiedBy>
  <cp:revision>2</cp:revision>
  <dcterms:created xsi:type="dcterms:W3CDTF">2012-02-20T18:05:00Z</dcterms:created>
  <dcterms:modified xsi:type="dcterms:W3CDTF">2012-02-20T18:05:00Z</dcterms:modified>
</cp:coreProperties>
</file>