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EC" w:rsidRPr="0091398F" w:rsidRDefault="009E19EC" w:rsidP="009E19EC">
      <w:pPr>
        <w:pStyle w:val="versales"/>
        <w:rPr>
          <w:rFonts w:ascii="Arial" w:hAnsi="Arial" w:cs="Arial"/>
          <w:color w:val="auto"/>
        </w:rPr>
      </w:pPr>
      <w:bookmarkStart w:id="0" w:name="Iniciativa4"/>
      <w:bookmarkStart w:id="1" w:name="_GoBack"/>
      <w:r w:rsidRPr="0091398F">
        <w:rPr>
          <w:rFonts w:ascii="Arial" w:hAnsi="Arial" w:cs="Arial"/>
          <w:color w:val="auto"/>
        </w:rPr>
        <w:t xml:space="preserve">Que reforma los artículos 6o., 9o. y 10 de la Ley de Ciencia y Tecnología, a cargo del diputado Jorge Antonio </w:t>
      </w:r>
      <w:proofErr w:type="spellStart"/>
      <w:r w:rsidRPr="0091398F">
        <w:rPr>
          <w:rFonts w:ascii="Arial" w:hAnsi="Arial" w:cs="Arial"/>
          <w:color w:val="auto"/>
        </w:rPr>
        <w:t>Kahwagi</w:t>
      </w:r>
      <w:proofErr w:type="spellEnd"/>
      <w:r w:rsidRPr="0091398F">
        <w:rPr>
          <w:rFonts w:ascii="Arial" w:hAnsi="Arial" w:cs="Arial"/>
          <w:color w:val="auto"/>
        </w:rPr>
        <w:t xml:space="preserve"> </w:t>
      </w:r>
      <w:proofErr w:type="spellStart"/>
      <w:r w:rsidRPr="0091398F">
        <w:rPr>
          <w:rFonts w:ascii="Arial" w:hAnsi="Arial" w:cs="Arial"/>
          <w:color w:val="auto"/>
        </w:rPr>
        <w:t>Macari</w:t>
      </w:r>
      <w:proofErr w:type="spellEnd"/>
      <w:r w:rsidRPr="0091398F">
        <w:rPr>
          <w:rFonts w:ascii="Arial" w:hAnsi="Arial" w:cs="Arial"/>
          <w:color w:val="auto"/>
        </w:rPr>
        <w:t xml:space="preserve">, del Grupo Parlamentario de Nueva Alianza </w:t>
      </w:r>
    </w:p>
    <w:bookmarkEnd w:id="1"/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Planteamiento del problema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La ciencia y la tecnología son herramientas indispensables en la construcción de sociedades modernas e incluyentes. El fortalecimiento de la investigación científica y la innovación tecnológica son tareas imprescindibles para apoyar el desarrollo del país y para competir en un entorno cada vez más dominado por el conocimiento y la información.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A pesar de los esfuerzos realizados, debemos reconocer que aún existe un rezago histórico acumulado en el país, en materia de infraestructura científica y tecnológica y en la formación de personas con alto nivel de preparación necesarias para la educación y la investigación.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En el Programa Especial de Ciencia, Tecnología e Innovación (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Peciti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>) 2008-2012, se propuso como objetivo establecer políticas de estado a corto, mediano y largo plazo que permitan fortalecer la cadena educación, ciencia básica y aplicada, y tecnología, buscando generar condiciones para un desarrollo sostenido.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La Auditoría Superior de la Federación (ASF) concluyó sobre la conducción de la política pública y desarrollo de la investigación que en 2010, los 26 centros públicos de investigación, coordinados por el Consejo Nacional de Ciencia y Tecnología (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>), realizaron mil 584 proyectos de investigación, sin que cuantificaran su contribución y el impacto en la solución de problemas en los ámbitos público y privado.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La Auditoría Superior de la Federación también señaló que 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 xml:space="preserve"> cuenta con 18 fondos sectoriales, de estos, en los de hidrocarburos y energía se tenían disponibles para proyectos de investigación 5 mil 443.6 millones de pesos al 31 de diciembre de 2010, de los cuales sólo se ejerció 36.6 por ciento (mil 991.4 millones de pesos), debido a la insuficiencia de proyectos viables para su autorización, situación que repercute en el cumplimiento del plan sectorial para el desarrollo científico y tecnológico del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 xml:space="preserve"> con las entidades y dependencias del gobierno federal.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Argumentación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La ciencia y la tecnología determinan cada vez más el nivel de bienestar de la población. La generación y aplicación del conocimiento científico y tecnológico es fundamental para resolver problemas relevantes de la sociedad. Así por ejemplo, en el ámbito educativo puede ser un factor fundamental para transformar la enseñanza a todos los niveles, generando los recursos humanos altamente calificados que requiere el país para afrontar los numerosos problemas sociales, y en el área de salud, la generación y aplicación del conocimiento científico se puede traducir en la creación de vacunas y de tratamientos que elevan la esperanza y la calidad de vida de la población. En relación con el medio ambiente, la ciencia y la tecnología son cruciales para aprovechar racionalmente los recursos naturales del país, fundamentalmente el agua, y con ello alcanzar un desarrollo sustentable.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lastRenderedPageBreak/>
        <w:t>Asimismo, la incorporación del desarrollo tecnológico a los procesos de producción de las empresas nacionales se traduce en un incremento de la productividad del trabajo y del capital; así, los costos de producción disminuyen, y la competitividad del aparato productivo nacional, el nivel de empleo y los salarios reales tienden a aumentar. La investigación básica y aplicada, la innovación y el desarrollo tecnológico integran un proceso continuo que permite ampliar las fronteras del conocimiento y aplicar éstas en beneficio de nuestro desarrollo social y económico.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La rapidez con que está ocurriendo el avance científico y tecnológico mundial crea la necesidad de establecer en nuestro país bases más claras y modernas para fomentar más eficazmente el desarrollo de la investigación científica y tecnológica, así como canalizar mayores recursos a estas actividades. Las fronteras del conocimiento científico y del desarrollo tecnológico no solamente son dinámicas, sino que cada vez son más especializadas y diversas, al punto de que es crecientemente complejo identificar el estado y las tendencias del quehacer científico y de la innovación, por lo que se requiere el concurso de todas las instancias consideradas en lo que podría denominarse el </w:t>
      </w:r>
      <w:r w:rsidRPr="0091398F">
        <w:rPr>
          <w:rStyle w:val="italicas"/>
          <w:rFonts w:ascii="Arial" w:hAnsi="Arial" w:cs="Arial"/>
          <w:color w:val="000000"/>
          <w:sz w:val="22"/>
          <w:szCs w:val="22"/>
        </w:rPr>
        <w:t xml:space="preserve">Sistema Nacional de Ciencia y </w:t>
      </w:r>
      <w:proofErr w:type="gramStart"/>
      <w:r w:rsidRPr="0091398F">
        <w:rPr>
          <w:rStyle w:val="italicas"/>
          <w:rFonts w:ascii="Arial" w:hAnsi="Arial" w:cs="Arial"/>
          <w:color w:val="000000"/>
          <w:sz w:val="22"/>
          <w:szCs w:val="22"/>
        </w:rPr>
        <w:t>Tecnología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Como parte de las recomendaciones y acciones emitidas a las entidades fiscalizadas a cargo del grupo funcional Desarrollo Económico, la Auditoría Superior de la Federación estimó pertinente someter a la consideración de la Cámara de Diputados 19 sugerencias, entre las que destaca la correspondiente a los fondos sectoriales que maneja 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>: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Evaluar y, de resultar procedente, solucionar la contradicción entre el Reglamento de la Ley Federal de Presupuesto y Responsabilidad Hacendaria, que establece la devolución de recursos no ejercidos al cierre del ejercicio fiscal, y las disposiciones de la Ley de Ciencia y Tecnología, que estipulan que los recursos que ingresen a sus fondos no se podrán revertir a la Tesorería de la Federación, no obstante que existen recursos presupuestales no asignados a proyectos, los cuales se mantienen ociosos en los “fondos” del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>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Por otra parte 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 xml:space="preserve"> debe contar con un banco de proyectos viables, que sirvan de sustento para considerar el monto o la necesidad presupuestal requerida en el ejercicio correspondiente.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En este orden de ideas, es que considero conveniente que el Ejecutivo entregue a la Cámara de Diputados, junto con el paquete económico, en un apartado específico, el banco de proyectos a ser apoyados con los fondos sectoriales y así destinar los recursos suficientes a estos fondos, sin tener recursos ociosos que pueden ser utilizados para restar presiones presupuestales en otros sectores.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Fundamento legal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Por las consideraciones expuestas y fundadas, en mi calidad de integrante del Grupo Parlamentario de Nueva Alianza, a la LXI Legislatura de la Cámara de Diputados del honorable Congreso de la Unión, con fundamento en los artículos 71, fracción II, de la Constitución Política de los Estados Unidos Mexicanos; 6.1.I, 77.1 y 78 del Reglamento de la Cámara de Diputados y demás disposiciones jurídicas aplicables somete a consideración del pleno de la Cámara de Diputados la presente iniciativa con proyecto de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lastRenderedPageBreak/>
        <w:t>Decreto por el que se reforman los artículo 6, 9 y 10 de la Ley de Ciencia y Tecnología.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Primero.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Se adiciona una fracción V Bis al artículo 6 de la Ley de Ciencia y Tecnología, como sigue: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6.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El Consejo General tendrá las siguientes facultades: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Fracciones I. a V</w:t>
      </w:r>
      <w:proofErr w:type="gramStart"/>
      <w:r w:rsidRPr="0091398F">
        <w:rPr>
          <w:rFonts w:ascii="Arial" w:hAnsi="Arial" w:cs="Arial"/>
          <w:color w:val="000000"/>
          <w:sz w:val="22"/>
          <w:szCs w:val="22"/>
        </w:rPr>
        <w:t>. ...</w:t>
      </w:r>
      <w:proofErr w:type="gramEnd"/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Fracción V Bis. Aprobar el monto conformado por la relación de proyectos que serán apoyados con los fondos sectoriales para cada ejercicio fiscal que corresponda.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Fracciones VI. </w:t>
      </w:r>
      <w:proofErr w:type="gramStart"/>
      <w:r w:rsidRPr="0091398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91398F">
        <w:rPr>
          <w:rFonts w:ascii="Arial" w:hAnsi="Arial" w:cs="Arial"/>
          <w:color w:val="000000"/>
          <w:sz w:val="22"/>
          <w:szCs w:val="22"/>
        </w:rPr>
        <w:t xml:space="preserve"> XI. ...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Segundo.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Se modifica el párrafo tercero del artículo 9 de la Ley de Ciencia y Tecnología, como sigue: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9.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Para garantizar la eficaz incorporación de las políticas y programas prioritarios en los anteproyectos de programas operativos y presupuestos anuales, así como para la revisión integral y de congruencia global del anteproyecto de presupuesto federal en lo relativo a ciencia, tecnología e innovación y asegurar la ejecución de los instrumentos específicos de apoyo que determine el consejo general, se integrará un comité intersecretarial que será coordinado de manera conjunta por la Secretaría de Hacienda y Crédito Público, a nivel subsecretario, y por el secretario ejecutivo, al que asistirán los subsecretarios o funcionarios de nivel equivalente de la Administración Pública Federal encargados de las funciones de investigación científica, desarrollo tecnológico e innovación de cada sector.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El comité intersecretarial a que se refiere el párrafo anterior, se apoyará en un secretario técnico con funciones permanentes, designado conjuntamente por la Secretaría de Hacienda y Crédito Público y el </w:t>
      </w:r>
      <w:proofErr w:type="spellStart"/>
      <w:r w:rsidRPr="0091398F">
        <w:rPr>
          <w:rFonts w:ascii="Arial" w:hAnsi="Arial" w:cs="Arial"/>
          <w:color w:val="000000"/>
          <w:sz w:val="22"/>
          <w:szCs w:val="22"/>
        </w:rPr>
        <w:t>Conacyt</w:t>
      </w:r>
      <w:proofErr w:type="spellEnd"/>
      <w:r w:rsidRPr="0091398F">
        <w:rPr>
          <w:rFonts w:ascii="Arial" w:hAnsi="Arial" w:cs="Arial"/>
          <w:color w:val="000000"/>
          <w:sz w:val="22"/>
          <w:szCs w:val="22"/>
        </w:rPr>
        <w:t>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El anteproyecto de presupuesto consolidado de ciencia, tecnología e innovación, </w:t>
      </w: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 xml:space="preserve">así como el monto conformado por la relación de proyectos a ser apoyados con los fondos </w:t>
      </w:r>
      <w:proofErr w:type="gramStart"/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sectoriales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1398F">
        <w:rPr>
          <w:rFonts w:ascii="Arial" w:hAnsi="Arial" w:cs="Arial"/>
          <w:color w:val="000000"/>
          <w:sz w:val="22"/>
          <w:szCs w:val="22"/>
        </w:rPr>
        <w:t xml:space="preserve"> se presentará a consideración del consejo general para su inclusión en el Proyecto de Presupuesto de Egresos de la Federación.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Tercero.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Se modifica el inciso b) de la fracción segunda del artículo 10 de la Ley de Ciencia y Tecnología, como sigue: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Artículo 10.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El secretario ejecutivo del consejo general, tendrá las siguientes atribuciones: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I. Ejecutar y dar seguimiento a los acuerdos del consejo general;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II. Formular y presentar al consejo general:</w:t>
      </w:r>
    </w:p>
    <w:p w:rsidR="009E19EC" w:rsidRPr="0091398F" w:rsidRDefault="009E19EC" w:rsidP="009E19EC">
      <w:pPr>
        <w:pStyle w:val="sangrot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lastRenderedPageBreak/>
        <w:t>a) El proyecto del Programa Especial de Ciencia, Tecnología e Innovación y sus actualizaciones, para su aprobación;</w:t>
      </w:r>
    </w:p>
    <w:p w:rsidR="009E19EC" w:rsidRPr="0091398F" w:rsidRDefault="009E19EC" w:rsidP="009E19EC">
      <w:pPr>
        <w:pStyle w:val="sangrot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b) El anteproyecto de presupuesto consolidado de ciencia, tecnología e innovación, así como el monto conformado por la relación de proyectos a ser apoyados con los fondos sectoriales que contendrá la propuesta de áreas y programas estratégicos y las prioridades y criterios de gasto público federal en estas materias, y</w:t>
      </w:r>
    </w:p>
    <w:p w:rsidR="009E19EC" w:rsidRPr="0091398F" w:rsidRDefault="009E19EC" w:rsidP="009E19EC">
      <w:pPr>
        <w:pStyle w:val="sangrot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c)...</w:t>
      </w:r>
    </w:p>
    <w:p w:rsidR="009E19EC" w:rsidRPr="0091398F" w:rsidRDefault="009E19EC" w:rsidP="009E19EC">
      <w:pPr>
        <w:pStyle w:val="sangrot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...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...</w:t>
      </w:r>
    </w:p>
    <w:p w:rsidR="009E19EC" w:rsidRPr="0091398F" w:rsidRDefault="009E19EC" w:rsidP="009E19EC">
      <w:pPr>
        <w:pStyle w:val="sangri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 xml:space="preserve">Fracciones III. </w:t>
      </w:r>
      <w:proofErr w:type="gramStart"/>
      <w:r w:rsidRPr="0091398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91398F">
        <w:rPr>
          <w:rFonts w:ascii="Arial" w:hAnsi="Arial" w:cs="Arial"/>
          <w:color w:val="000000"/>
          <w:sz w:val="22"/>
          <w:szCs w:val="22"/>
        </w:rPr>
        <w:t xml:space="preserve"> VI. ...</w:t>
      </w:r>
    </w:p>
    <w:p w:rsidR="009E19EC" w:rsidRPr="0091398F" w:rsidRDefault="009E19EC" w:rsidP="009E19EC">
      <w:pPr>
        <w:pStyle w:val="centrar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Transitorio</w:t>
      </w:r>
    </w:p>
    <w:p w:rsidR="009E19EC" w:rsidRPr="0091398F" w:rsidRDefault="009E19EC" w:rsidP="009E19E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1398F">
        <w:rPr>
          <w:rStyle w:val="negritas"/>
          <w:rFonts w:ascii="Arial" w:hAnsi="Arial" w:cs="Arial"/>
          <w:color w:val="000000"/>
          <w:sz w:val="22"/>
          <w:szCs w:val="22"/>
        </w:rPr>
        <w:t>Único.</w:t>
      </w:r>
      <w:r w:rsidRPr="0091398F">
        <w:rPr>
          <w:rFonts w:ascii="Arial" w:hAnsi="Arial" w:cs="Arial"/>
          <w:color w:val="000000"/>
          <w:sz w:val="22"/>
          <w:szCs w:val="22"/>
        </w:rPr>
        <w:t xml:space="preserve"> El presente decreto entrará en vigor el día siguiente al de su publicación en el Diario Oficial de la Federación. </w:t>
      </w:r>
    </w:p>
    <w:p w:rsidR="009E19EC" w:rsidRPr="0091398F" w:rsidRDefault="009E19EC" w:rsidP="009E19EC">
      <w:pPr>
        <w:pStyle w:val="derecha"/>
        <w:rPr>
          <w:rFonts w:ascii="Arial" w:hAnsi="Arial" w:cs="Arial"/>
          <w:color w:val="000000"/>
          <w:sz w:val="22"/>
          <w:szCs w:val="22"/>
        </w:rPr>
      </w:pPr>
      <w:r w:rsidRPr="0091398F">
        <w:rPr>
          <w:rFonts w:ascii="Arial" w:hAnsi="Arial" w:cs="Arial"/>
          <w:color w:val="000000"/>
          <w:sz w:val="22"/>
          <w:szCs w:val="22"/>
        </w:rPr>
        <w:t>Palacio Legislativo de San Lázaro, a 8 de marzo de 2012.</w:t>
      </w:r>
    </w:p>
    <w:p w:rsidR="009E19EC" w:rsidRPr="0091398F" w:rsidRDefault="009E19EC" w:rsidP="009E19EC">
      <w:pPr>
        <w:pStyle w:val="atentamente"/>
        <w:rPr>
          <w:rFonts w:ascii="Arial" w:hAnsi="Arial" w:cs="Arial"/>
          <w:color w:val="000000"/>
        </w:rPr>
      </w:pPr>
      <w:r w:rsidRPr="0091398F">
        <w:rPr>
          <w:rFonts w:ascii="Arial" w:hAnsi="Arial" w:cs="Arial"/>
          <w:color w:val="000000"/>
        </w:rPr>
        <w:t xml:space="preserve">Diputado Jorge Antonio </w:t>
      </w:r>
      <w:proofErr w:type="spellStart"/>
      <w:r w:rsidRPr="0091398F">
        <w:rPr>
          <w:rFonts w:ascii="Arial" w:hAnsi="Arial" w:cs="Arial"/>
          <w:color w:val="000000"/>
        </w:rPr>
        <w:t>Kahwagi</w:t>
      </w:r>
      <w:proofErr w:type="spellEnd"/>
      <w:r w:rsidRPr="0091398F">
        <w:rPr>
          <w:rFonts w:ascii="Arial" w:hAnsi="Arial" w:cs="Arial"/>
          <w:color w:val="000000"/>
        </w:rPr>
        <w:t xml:space="preserve"> </w:t>
      </w:r>
      <w:proofErr w:type="spellStart"/>
      <w:r w:rsidRPr="0091398F">
        <w:rPr>
          <w:rFonts w:ascii="Arial" w:hAnsi="Arial" w:cs="Arial"/>
          <w:color w:val="000000"/>
        </w:rPr>
        <w:t>Macari</w:t>
      </w:r>
      <w:proofErr w:type="spellEnd"/>
      <w:r w:rsidRPr="0091398F">
        <w:rPr>
          <w:rFonts w:ascii="Arial" w:hAnsi="Arial" w:cs="Arial"/>
          <w:color w:val="000000"/>
        </w:rPr>
        <w:t xml:space="preserve"> (rúbrica)</w:t>
      </w:r>
    </w:p>
    <w:bookmarkEnd w:id="0"/>
    <w:p w:rsidR="008068BD" w:rsidRPr="0091398F" w:rsidRDefault="0091398F">
      <w:pPr>
        <w:rPr>
          <w:rFonts w:ascii="Arial" w:hAnsi="Arial" w:cs="Arial"/>
        </w:rPr>
      </w:pPr>
    </w:p>
    <w:sectPr w:rsidR="008068BD" w:rsidRPr="00913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EC"/>
    <w:rsid w:val="0091398F"/>
    <w:rsid w:val="009E19EC"/>
    <w:rsid w:val="00B4687E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9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9E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recha">
    <w:name w:val="derecha"/>
    <w:basedOn w:val="Normal"/>
    <w:rsid w:val="009E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ersales">
    <w:name w:val="versales"/>
    <w:basedOn w:val="Normal"/>
    <w:rsid w:val="009E19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mallCaps/>
      <w:color w:val="9D0000"/>
      <w:sz w:val="24"/>
      <w:szCs w:val="24"/>
      <w:lang w:eastAsia="es-MX"/>
    </w:rPr>
  </w:style>
  <w:style w:type="paragraph" w:customStyle="1" w:styleId="atentamente">
    <w:name w:val="atentamente"/>
    <w:basedOn w:val="Normal"/>
    <w:rsid w:val="009E19EC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MX"/>
    </w:rPr>
  </w:style>
  <w:style w:type="paragraph" w:customStyle="1" w:styleId="sangria">
    <w:name w:val="sangria"/>
    <w:basedOn w:val="Normal"/>
    <w:rsid w:val="009E19EC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ota">
    <w:name w:val="sangrota"/>
    <w:basedOn w:val="Normal"/>
    <w:rsid w:val="009E19EC"/>
    <w:pPr>
      <w:spacing w:before="100" w:beforeAutospacing="1" w:after="100" w:afterAutospacing="1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9E19EC"/>
    <w:rPr>
      <w:b/>
      <w:bCs/>
    </w:rPr>
  </w:style>
  <w:style w:type="character" w:customStyle="1" w:styleId="italicas">
    <w:name w:val="italicas"/>
    <w:basedOn w:val="Fuentedeprrafopredeter"/>
    <w:rsid w:val="009E1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9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entrar">
    <w:name w:val="centrar"/>
    <w:basedOn w:val="Normal"/>
    <w:rsid w:val="009E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recha">
    <w:name w:val="derecha"/>
    <w:basedOn w:val="Normal"/>
    <w:rsid w:val="009E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ersales">
    <w:name w:val="versales"/>
    <w:basedOn w:val="Normal"/>
    <w:rsid w:val="009E19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mallCaps/>
      <w:color w:val="9D0000"/>
      <w:sz w:val="24"/>
      <w:szCs w:val="24"/>
      <w:lang w:eastAsia="es-MX"/>
    </w:rPr>
  </w:style>
  <w:style w:type="paragraph" w:customStyle="1" w:styleId="atentamente">
    <w:name w:val="atentamente"/>
    <w:basedOn w:val="Normal"/>
    <w:rsid w:val="009E19EC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MX"/>
    </w:rPr>
  </w:style>
  <w:style w:type="paragraph" w:customStyle="1" w:styleId="sangria">
    <w:name w:val="sangria"/>
    <w:basedOn w:val="Normal"/>
    <w:rsid w:val="009E19EC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ota">
    <w:name w:val="sangrota"/>
    <w:basedOn w:val="Normal"/>
    <w:rsid w:val="009E19EC"/>
    <w:pPr>
      <w:spacing w:before="100" w:beforeAutospacing="1" w:after="100" w:afterAutospacing="1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9E19EC"/>
    <w:rPr>
      <w:b/>
      <w:bCs/>
    </w:rPr>
  </w:style>
  <w:style w:type="character" w:customStyle="1" w:styleId="italicas">
    <w:name w:val="italicas"/>
    <w:basedOn w:val="Fuentedeprrafopredeter"/>
    <w:rsid w:val="009E1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26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8000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481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7828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2012-03-09T19:06:00Z</dcterms:created>
  <dcterms:modified xsi:type="dcterms:W3CDTF">2012-03-09T19:38:00Z</dcterms:modified>
</cp:coreProperties>
</file>