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96" w:rsidRPr="00A95091" w:rsidRDefault="00667296" w:rsidP="00667296">
      <w:pPr>
        <w:pStyle w:val="versales"/>
        <w:rPr>
          <w:rFonts w:ascii="Arial" w:hAnsi="Arial" w:cs="Arial"/>
          <w:color w:val="auto"/>
        </w:rPr>
      </w:pPr>
      <w:bookmarkStart w:id="0" w:name="DictamenNOIni21"/>
      <w:bookmarkStart w:id="1" w:name="_GoBack"/>
      <w:r w:rsidRPr="00A95091">
        <w:rPr>
          <w:rFonts w:ascii="Arial" w:hAnsi="Arial" w:cs="Arial"/>
          <w:color w:val="auto"/>
        </w:rPr>
        <w:t xml:space="preserve">De la Comisión de Economía, con puntos de acuerdo por los que se desecha la iniciativa con proyecto de decreto que expide la Ley de Precios Competitivos </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Honorable Asamblea:</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A la Comisión de Economía de la Cámara de Diputados del H. Congreso de la Unión, correspondiente a la LXI Legislatura, con fundamento en los artículos 57, 60, 62 y 63 del Reglamento para el Gobierno Interior del Congreso General de los Estados Unidos Mexicanos, le fue turnada para su estudio y dictamen la siguiente iniciativa que expide la Ley de Precios Competitivos, presentada por el diputado Mario Alberto di </w:t>
      </w:r>
      <w:proofErr w:type="spellStart"/>
      <w:r w:rsidRPr="00A95091">
        <w:rPr>
          <w:rFonts w:ascii="Arial" w:hAnsi="Arial" w:cs="Arial"/>
          <w:sz w:val="22"/>
          <w:szCs w:val="22"/>
        </w:rPr>
        <w:t>Costanzo</w:t>
      </w:r>
      <w:proofErr w:type="spellEnd"/>
      <w:r w:rsidRPr="00A95091">
        <w:rPr>
          <w:rFonts w:ascii="Arial" w:hAnsi="Arial" w:cs="Arial"/>
          <w:sz w:val="22"/>
          <w:szCs w:val="22"/>
        </w:rPr>
        <w:t xml:space="preserve"> Armenta, integrante del Grupo Parlamentario del Partido del Trabajo de la LXI Legislatura, en fecha 4 de febrero de 2010.</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Comisión de Economía, con fundamento en los artículos 39 y 45, numeral 6, incisos e) y f), de la ley Orgánica del Congreso General de los Estados Unidos Mexicanos, así como en los artículos 57, 60, 62 y 63 del Reglamento Interior para el Congreso General de los Estados Unidos Mexicanos, se abocó al estudio y análisis de la iniciativa mencionada, al tenor de los siguientes:</w:t>
      </w:r>
    </w:p>
    <w:p w:rsidR="00667296" w:rsidRPr="00A95091" w:rsidRDefault="00667296" w:rsidP="00667296">
      <w:pPr>
        <w:pStyle w:val="centrar"/>
        <w:rPr>
          <w:rFonts w:ascii="Arial" w:hAnsi="Arial" w:cs="Arial"/>
          <w:sz w:val="22"/>
          <w:szCs w:val="22"/>
        </w:rPr>
      </w:pPr>
      <w:r w:rsidRPr="00A95091">
        <w:rPr>
          <w:rFonts w:ascii="Arial" w:hAnsi="Arial" w:cs="Arial"/>
          <w:sz w:val="22"/>
          <w:szCs w:val="22"/>
        </w:rPr>
        <w:t>Antecedentes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Primero.</w:t>
      </w:r>
      <w:r w:rsidRPr="00A95091">
        <w:rPr>
          <w:rFonts w:ascii="Arial" w:hAnsi="Arial" w:cs="Arial"/>
          <w:sz w:val="22"/>
          <w:szCs w:val="22"/>
        </w:rPr>
        <w:t xml:space="preserve"> En sesión celebrada en esta Cámara de Diputados en fecha 4 de febrero de 2010, los CC. Secretarios de la misma dieron cuenta al pleno de esta soberanía de la iniciativa que expide la Ley de Precios Competitivos, presentada por el diputado Mario Alberto di </w:t>
      </w:r>
      <w:proofErr w:type="spellStart"/>
      <w:r w:rsidRPr="00A95091">
        <w:rPr>
          <w:rFonts w:ascii="Arial" w:hAnsi="Arial" w:cs="Arial"/>
          <w:sz w:val="22"/>
          <w:szCs w:val="22"/>
        </w:rPr>
        <w:t>Costanzo</w:t>
      </w:r>
      <w:proofErr w:type="spellEnd"/>
      <w:r w:rsidRPr="00A95091">
        <w:rPr>
          <w:rFonts w:ascii="Arial" w:hAnsi="Arial" w:cs="Arial"/>
          <w:sz w:val="22"/>
          <w:szCs w:val="22"/>
        </w:rPr>
        <w:t xml:space="preserve"> Armenta.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Segundo.</w:t>
      </w:r>
      <w:r w:rsidRPr="00A95091">
        <w:rPr>
          <w:rFonts w:ascii="Arial" w:hAnsi="Arial" w:cs="Arial"/>
          <w:sz w:val="22"/>
          <w:szCs w:val="22"/>
        </w:rPr>
        <w:t xml:space="preserve"> El C. Presidente de la Mesa Directiva acordó dar el siguiente trámite: “Túrnese a la Comisión de Economía, con opinión de la Comisión de Presupuesto y Cuenta Pública”.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Tercero.</w:t>
      </w:r>
      <w:r w:rsidRPr="00A95091">
        <w:rPr>
          <w:rFonts w:ascii="Arial" w:hAnsi="Arial" w:cs="Arial"/>
          <w:sz w:val="22"/>
          <w:szCs w:val="22"/>
        </w:rPr>
        <w:t xml:space="preserve"> El legislador en su iniciativa propone en resumen lo siguiente:</w:t>
      </w:r>
    </w:p>
    <w:p w:rsidR="00667296" w:rsidRPr="00A95091" w:rsidRDefault="00667296" w:rsidP="00667296">
      <w:pPr>
        <w:pStyle w:val="sangria"/>
        <w:rPr>
          <w:rFonts w:ascii="Arial" w:hAnsi="Arial" w:cs="Arial"/>
          <w:sz w:val="22"/>
          <w:szCs w:val="22"/>
        </w:rPr>
      </w:pPr>
      <w:r w:rsidRPr="00A95091">
        <w:rPr>
          <w:rFonts w:ascii="Arial" w:hAnsi="Arial" w:cs="Arial"/>
          <w:sz w:val="22"/>
          <w:szCs w:val="22"/>
        </w:rPr>
        <w:t>Crear la Comisión Federal de Precios Competitivos como organismo público descentralizado del gobierno federal con personalidad jurídica y patrimonio propio, para el cumplimiento de los artículos de esta ley.</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Establecer mecanismos que logren mantener un sano equilibrio en la determinación de precios en los mercados relevantes de bienes y servicios, a través de la determinación de precios con orientación competitiva (valor pecuniario con rangos mínimos y/o máximos) a bienes y servicios concesionados por el Estado, los que requieran licencia o autorización del Estado y artículos de consumo necesario e insumos para la producción. La Comisión hará el establecimiento de dichos precios tomando en cuenta los costos normales de producción; la situación de la oferta y la demanda del mercado nacional, y de los mercados de los Estados Unidos de América, Canadá y los países centroamericanos; el Índice Nacional de Precios al Consumidor; el porcentaje de la tarifa promedio ponderada a la importación de bienes; entre otros factores.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Impedir la exageración en los precios por parte de las personas físicas o morales que puedan constituirse o constituyan un poder sustancial en el mercado relevante que corresponda, considerando que existe exageración de precios cuando ofrezcan bienes o </w:t>
      </w:r>
      <w:r w:rsidRPr="00A95091">
        <w:rPr>
          <w:rFonts w:ascii="Arial" w:hAnsi="Arial" w:cs="Arial"/>
          <w:sz w:val="22"/>
          <w:szCs w:val="22"/>
        </w:rPr>
        <w:lastRenderedPageBreak/>
        <w:t>servicios a un precio que sea superior en 10 por ciento o más al precio competitivo (comparación de los precios de venta del mercado relevante nacional con los precios más competitivos en los mercados de los Estados Unidos de América, Canadá y los países centroamericanos) o bien a los precios con orientación competitiva que fije la Comisión.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Comisión analizará oportunamente aquellos casos en los que el porcentaje de la tarifa a la importación de algún conjunto de bienes o insumos necesarios para la producción, sea estadísticamente superior en grado significativo al porcentaje promedio ponderado de la tarifa de importación, de tal manera que impida al productor nacional ofrecer precios competitivos, para ajustar su criterio en lo que corresponde a ese bien.</w:t>
      </w:r>
    </w:p>
    <w:p w:rsidR="00667296" w:rsidRPr="00A95091" w:rsidRDefault="00667296" w:rsidP="00667296">
      <w:pPr>
        <w:pStyle w:val="centrar"/>
        <w:rPr>
          <w:rFonts w:ascii="Arial" w:hAnsi="Arial" w:cs="Arial"/>
          <w:sz w:val="22"/>
          <w:szCs w:val="22"/>
        </w:rPr>
      </w:pPr>
      <w:r w:rsidRPr="00A95091">
        <w:rPr>
          <w:rFonts w:ascii="Arial" w:hAnsi="Arial" w:cs="Arial"/>
          <w:sz w:val="22"/>
          <w:szCs w:val="22"/>
        </w:rPr>
        <w:t>Consideraciones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Primera.</w:t>
      </w:r>
      <w:r w:rsidRPr="00A95091">
        <w:rPr>
          <w:rFonts w:ascii="Arial" w:hAnsi="Arial" w:cs="Arial"/>
          <w:sz w:val="22"/>
          <w:szCs w:val="22"/>
        </w:rPr>
        <w:t xml:space="preserve"> Que de conformidad con el numeral 3 del artículo 39 de la Ley Orgánica del Congreso General de los Estados Unidos Mexicanos, en relación con el 34 de la Ley Orgánica de la Administración Pública Federal, esta Comisión de Economía es competente para conocer sobre la iniciativa que expide la Ley de Precios Competitivos.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Segunda.</w:t>
      </w:r>
      <w:r w:rsidRPr="00A95091">
        <w:rPr>
          <w:rFonts w:ascii="Arial" w:hAnsi="Arial" w:cs="Arial"/>
          <w:sz w:val="22"/>
          <w:szCs w:val="22"/>
        </w:rPr>
        <w:t xml:space="preserve"> Que esta comisión dictaminadora coincide con el proponente en que el monopolio ha existido en casi todos los periodos de la civilización y desde hace más de cuatro siglos es combatido por las leyes de muchos países.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Tercera.</w:t>
      </w:r>
      <w:r w:rsidRPr="00A95091">
        <w:rPr>
          <w:rFonts w:ascii="Arial" w:hAnsi="Arial" w:cs="Arial"/>
          <w:sz w:val="22"/>
          <w:szCs w:val="22"/>
        </w:rPr>
        <w:t xml:space="preserve"> Que esta comisión dictaminadora también coincide con el proponente que entre los efectos de las prácticas monopólicas está el del aumento injustificado de precios, el acaparamiento de los mercados o la insana participación de unos cuantos en los mercados nacionales.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Cuarta.</w:t>
      </w:r>
      <w:r w:rsidRPr="00A95091">
        <w:rPr>
          <w:rFonts w:ascii="Arial" w:hAnsi="Arial" w:cs="Arial"/>
          <w:sz w:val="22"/>
          <w:szCs w:val="22"/>
        </w:rPr>
        <w:t xml:space="preserve"> Que los diputados que integran esta Comisión de Economía, con el fin de evitar el aumento injustificado de los precios, beneficiar a los consumidores e incrementar el nivel de vida de los mismos y generar crecimiento económico en el país, establecieron como uno de los objetivos del programa de actividades de esta Comisión el “garantizar una competencia sana en todos los mercados, que proteja al consumidor y fortalezca la competitividad de nuestros sectores productivos”.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Quinta.</w:t>
      </w:r>
      <w:r w:rsidRPr="00A95091">
        <w:rPr>
          <w:rFonts w:ascii="Arial" w:hAnsi="Arial" w:cs="Arial"/>
          <w:sz w:val="22"/>
          <w:szCs w:val="22"/>
        </w:rPr>
        <w:t xml:space="preserve"> Para el combate a las prácticas anticompetitivas, el estándar internacional es mediante legislaciones como la Ley Federal de Competencia Económica de nuestro país, las cuales están sustentadas y ampliamente probadas, lo cual se ve reflejado en el amplio número de países que las han incluido en su marco regulatorio, como son Estados Unidos, Noruega, Brasil, Canadá, Japón, Australia y la Unión Europea, así como jurisdicciones cuyas autoridades antimonopolios son de reciente creación, como las de Argentina, Hungría y El Salvador.</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materia de competencia y regulación económicas en términos de las mejores prácticas internacionales, países como Estados Unidos, Brasil, Canadá, Australia y la Unión Europea, han mejorado e impulsado sustantivamente el diseño organizacional de sus respectivas entidades reguladoras y del andamiaje jurídico que sustenta su actuación y el comportamiento de sus agentes económicos.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lastRenderedPageBreak/>
        <w:t>En dichas naciones ello se ha traducido en un mayor rendimiento económico, en una mayor capacidad de competir exitosamente con otros países, en la reducción de costos de transacción e información y en un mayor poder adquisitivo de sus ciudadanos.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aras de fortalecer al país en materia de competencia económica, y con ello incrementar los alcances en el combate a los monopolios y a las prácticas anticompetitivas, en condiciones de mayor eficacia y transparencia, esta Comisión de Economía ha aprobado diversas reformas a la Ley Federal de Competencia Económica, las cuales fueron votadas y aprobadas por el pleno de esta Cámara de Diputados el 29 de abril de 2010.</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Significa una enorme trascendencia para el país reformar la Ley Federal de Competencia Económica, en la medida en que de esta manera las empresas del país puedan incrementar sus niveles de productividad y competitividad. Una ley fortalecida que regule las actividades económicas y productivas del país en forma más eficaz se traducirá en una competencia más sana en todos los mercados que proteja al consumidor.</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Dichas reformas aprobadas por esta Comisión de Economía responden al hecho de que el mejoramiento de las instituciones existentes puede reducir en forma sustantiva los riesgos y la incertidumbre económica y social. Para ello se propuso ampliar las facultades de la Comisión Federal de Competencia (CFC); establecer lineamientos para determinar si una concentración económica limita o no la competencia; la creación de balances y contrapesos claros entre los comisionados, el secretario ejecutivo y el comisionado presidente dentro de la CFC; entre otras modificaciones.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materia de sanciones económicas se aprobó cambiar la base de cálculo de salarios mínimos a ingresos acumulables, la cual se establece, para quienes incurran en una práctica monopólica absoluta, de hasta el 10 por ciento de los ingresos del agente económico, la cual es, según el artículo 35 de la Ley Federal de Competencia Económica vigente, hasta por el equivalente a un millón quinientas mil veces el salario mínimo general vigente para el Distrito Federal. Lo anterior a fin de que las multas sean más elevadas y existan elementos fuertemente disuasivos con el propósito de que no se cometan prácticas anticompetitivas que afecten al consumidor.</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Sexta.</w:t>
      </w:r>
      <w:r w:rsidRPr="00A95091">
        <w:rPr>
          <w:rFonts w:ascii="Arial" w:hAnsi="Arial" w:cs="Arial"/>
          <w:sz w:val="22"/>
          <w:szCs w:val="22"/>
        </w:rPr>
        <w:t xml:space="preserve"> Dentro de las mismas reformas aprobadas por esta Comisión de Economía a la Ley Federal de Competencia Económica, se adicionó la fracción XVIII Bis 2 al artículo 34, referente a las atribuciones de la CFC, la cual señala como una de ellas el “realizar estudios, trabajos de investigación e informes generales en materia de competencia económica sobre sectores, en su caso, con propuestas de liberalización, desregulación o modificación normativa, cuando detecte riesgos de dañar al proceso de competencia y libre concurrencia o cuando identifique niveles de precios que puedan indicar un problema de competencia o acciones que resulten en un aumento significativo de precios o cuando así se lo notifiquen otras autoridades”.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Séptima.</w:t>
      </w:r>
      <w:r w:rsidRPr="00A95091">
        <w:rPr>
          <w:rFonts w:ascii="Arial" w:hAnsi="Arial" w:cs="Arial"/>
          <w:sz w:val="22"/>
          <w:szCs w:val="22"/>
        </w:rPr>
        <w:t xml:space="preserve"> La Organización para la Cooperación y el Desarrollo Económico (</w:t>
      </w:r>
      <w:proofErr w:type="gramStart"/>
      <w:r w:rsidRPr="00A95091">
        <w:rPr>
          <w:rFonts w:ascii="Arial" w:hAnsi="Arial" w:cs="Arial"/>
          <w:sz w:val="22"/>
          <w:szCs w:val="22"/>
        </w:rPr>
        <w:t>OCDE</w:t>
      </w:r>
      <w:r w:rsidRPr="00A95091">
        <w:rPr>
          <w:rStyle w:val="superscript"/>
          <w:rFonts w:ascii="Arial" w:hAnsi="Arial" w:cs="Arial"/>
          <w:sz w:val="15"/>
          <w:szCs w:val="15"/>
        </w:rPr>
        <w:t>1</w:t>
      </w:r>
      <w:r w:rsidRPr="00A95091">
        <w:rPr>
          <w:rFonts w:ascii="Arial" w:hAnsi="Arial" w:cs="Arial"/>
          <w:sz w:val="22"/>
          <w:szCs w:val="22"/>
        </w:rPr>
        <w:t xml:space="preserve"> )</w:t>
      </w:r>
      <w:proofErr w:type="gramEnd"/>
      <w:r w:rsidRPr="00A95091">
        <w:rPr>
          <w:rFonts w:ascii="Arial" w:hAnsi="Arial" w:cs="Arial"/>
          <w:sz w:val="22"/>
          <w:szCs w:val="22"/>
        </w:rPr>
        <w:t xml:space="preserve"> señala que la competencia es clave para la productividad y el crecimiento, y fortalecer la ley en este respecto genera un impulso para alcanzar estos objetivos.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En este sentido, esta Comisión de Economía considera que la competencia genera riqueza, promueve la masificación del bienestar social y salvaguarda los derechos </w:t>
      </w:r>
      <w:r w:rsidRPr="00A95091">
        <w:rPr>
          <w:rFonts w:ascii="Arial" w:hAnsi="Arial" w:cs="Arial"/>
          <w:sz w:val="22"/>
          <w:szCs w:val="22"/>
        </w:rPr>
        <w:lastRenderedPageBreak/>
        <w:t>ciudadanos de los consumidores, por lo que es viable dar mayor seguridad y fortaleza a la regulación de la competencia.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Octava.</w:t>
      </w:r>
      <w:r w:rsidRPr="00A95091">
        <w:rPr>
          <w:rFonts w:ascii="Arial" w:hAnsi="Arial" w:cs="Arial"/>
          <w:sz w:val="22"/>
          <w:szCs w:val="22"/>
        </w:rPr>
        <w:t xml:space="preserve"> La iniciativa de precios competitivos presenta rasgos e intenciones que buscan beneficiar a los consumidores y protegerlos de abusos en los precios; sin embargo, no forma parte del estándar internacional anteriormente expuesto para combatir prácticas monopólicas, cuyos efectos se ven reflejados en el alza de precios y en una competencia desleal.</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Novena.</w:t>
      </w:r>
      <w:r w:rsidRPr="00A95091">
        <w:rPr>
          <w:rFonts w:ascii="Arial" w:hAnsi="Arial" w:cs="Arial"/>
          <w:sz w:val="22"/>
          <w:szCs w:val="22"/>
        </w:rPr>
        <w:t xml:space="preserve"> De acuerdo a la OCDE “Una Ley de Competencia bien diseñada, una ejecución efectiva de la misma y una reforma económica basada en la competencia promueven el aumento de la eficiencia, crecimiento económico y empleo en beneficio de todos. El trabajo de la OCDE en materia de leyes y políticas de competencia fomenta activamente a los gobiernos a hacer frente a las prácticas y regulaciones anticompetitivas y promueve la reforma orientada al mercado en todo el mundo”.</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w:t>
      </w:r>
      <w:r w:rsidRPr="00A95091">
        <w:rPr>
          <w:rFonts w:ascii="Arial" w:hAnsi="Arial" w:cs="Arial"/>
          <w:sz w:val="22"/>
          <w:szCs w:val="22"/>
        </w:rPr>
        <w:t xml:space="preserve"> Que conforme a la misma Organización no existe metodología general sólida para determinar precios excesivos como lo sugiere la iniciativa de precios competitivos, y que dentro del mencionado organismo no se ha creado una comisión de trabajo en esta área debido a que en la práctica es muy difícil establecer un límite más allá del cual un precio pueda ser considerado excesivo o irracional.</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Primera.</w:t>
      </w:r>
      <w:r w:rsidRPr="00A95091">
        <w:rPr>
          <w:rFonts w:ascii="Arial" w:hAnsi="Arial" w:cs="Arial"/>
          <w:sz w:val="22"/>
          <w:szCs w:val="22"/>
        </w:rPr>
        <w:t xml:space="preserve"> Que en la iniciativa no existe evidencia empírica sólida que justifique la metodología a utilizar para definir que un precio es exagerado. En el caso en que la iniciativa sugiere utilizar un comparativo de precios del mercado nacional con los mercados de Estados Unidos, Canadá y los países centroamericanos para determinar si un precio es exagerado, no se considera el hecho de que existen diferencias sustanciales entre estos mercados, tales como escalas de mercado, organización industrial, productividad, estructuras de mercado, políticas públicas, combinación de los factores productivos, climatológicos y geográficos, entre otros múltiples factores que hacen complejo y no viable el utilizarlos como referencia para imponer precios con orientación competitiva en México.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definición del artículo 30, inciso e), de la iniciativa no especifica bajo qué criterios y en qué casos se utilizaría el mercado de Estados Unidos, el de Canadá o los países centroamericanos como mercados de referencia.</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Un ejemplo de lo complicado de comparar dos mercados forzando a uno a tener como punto de referencia al otro, pueden ser los productos agropecuarios originarios de Estados Unidos, particularmente el maíz, que en 2004 se llegó a cultivar con costos hasta 300 por ciento más caros por hectárea en México que en dicho país</w:t>
      </w:r>
      <w:r w:rsidRPr="00A95091">
        <w:rPr>
          <w:rStyle w:val="superscript"/>
          <w:rFonts w:ascii="Arial" w:hAnsi="Arial" w:cs="Arial"/>
          <w:sz w:val="15"/>
          <w:szCs w:val="15"/>
        </w:rPr>
        <w:t>2</w:t>
      </w:r>
      <w:r w:rsidRPr="00A95091">
        <w:rPr>
          <w:rFonts w:ascii="Arial" w:hAnsi="Arial" w:cs="Arial"/>
          <w:sz w:val="22"/>
          <w:szCs w:val="22"/>
        </w:rPr>
        <w:t xml:space="preserve"> . De igual manera, definir a qué nivel un precio debe considerarse como exagerado es muy complejo y debe basarse en evidencia empírica sólida que justifique plenamente la metodología a utilizar.</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Los productores agrícolas de dos países son muy distintos, ambos tienen un muy particular empleo de los factores de producción con respecto a adecuadas formas para tener una mejor productividad, sufren mermas en la transportación de sus productos, están sujetos a los efectos climáticos particulares de la región en sus cosechas y enfrentan volatilidad en los precios nacionales e internacionales de sus productos; todo ello tiene efecto en los costos de producción y hace compleja su comparación.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lastRenderedPageBreak/>
        <w:t>Dadas las altas y frecuentes subvenciones en materia agrícola a nivel internacional, sería difícil establecer un precio con orientación competitiva, como lo sugiere la iniciativa, basado en otros mercados. Además, en el caso de la fijación del precio con orientación competitiva en materia agrícola, se estaría forzando a cumplir con dicha regulación, afectando principalmente a los micro, pequeños y medianos productores al éstos concentrarse más en cumplir la regulación que en invertir en tecnología y hacerse más competitivos, frente a una competencia subsidiada internacionalmente.</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Segunda.</w:t>
      </w:r>
      <w:r w:rsidRPr="00A95091">
        <w:rPr>
          <w:rFonts w:ascii="Arial" w:hAnsi="Arial" w:cs="Arial"/>
          <w:sz w:val="22"/>
          <w:szCs w:val="22"/>
        </w:rPr>
        <w:t xml:space="preserve"> Asimismo, de acuerdo al artículo 9 de la iniciativa, se fija un nivel de 10 por ciento o más con respecto al precio competitivo para considerar que existe exageración de precios, el cual es un porcentaje arbitrario y no se explica en la iniciativa la justificación empírica y sólida por la que se escoge. De hecho, no hay un nivel o parámetro sólido internacionalmente y empíricamente aceptado o conclusivo que indique que existe exageración de precios cuando se ofrezcan bienes o servicios a un precio que sea superior en 10 por ciento o más al precio más competitivo de otros mercados o bien a los precios con orientación competitiva fijados por una Comisión.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iniciativa por tanto no brinda elementos empíricamente sólidos que expliquen el por qué se escogió el nivel de 10 por ciento o las razones de por qué no se escogió por ejemplo un 5 por ciento o un 20 por ciento, o una diferenciación de niveles entre diferentes sectores económicos; además de que no existe un parámetro establecido que indique lo que es exagerado.</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Tercera.</w:t>
      </w:r>
      <w:r w:rsidRPr="00A95091">
        <w:rPr>
          <w:rFonts w:ascii="Arial" w:hAnsi="Arial" w:cs="Arial"/>
          <w:sz w:val="22"/>
          <w:szCs w:val="22"/>
        </w:rPr>
        <w:t xml:space="preserve"> En cuanto al establecimiento de los precios con orientación competitiva por parte de la Comisión de Precios Competitivos que pretende crear la iniciativa, no hay evidencia empírica sólida que justifique y dé certidumbre que a través de la utilización de cualquiera de los factores señalados en el artículo 8° de la iniciativa se puedan establecer precios con orientación competitiva metodológicamente correctos.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Por el contrario, el establecimiento de precios con orientación competitiva por medio de cualquiera de estos factores, fomentaría la incertidumbre de los actores económicos. La iniciativa tampoco es clara en cuanto a si un factor o la combinación de qué factores se </w:t>
      </w:r>
      <w:proofErr w:type="gramStart"/>
      <w:r w:rsidRPr="00A95091">
        <w:rPr>
          <w:rFonts w:ascii="Arial" w:hAnsi="Arial" w:cs="Arial"/>
          <w:sz w:val="22"/>
          <w:szCs w:val="22"/>
        </w:rPr>
        <w:t>utilizaría</w:t>
      </w:r>
      <w:proofErr w:type="gramEnd"/>
      <w:r w:rsidRPr="00A95091">
        <w:rPr>
          <w:rFonts w:ascii="Arial" w:hAnsi="Arial" w:cs="Arial"/>
          <w:sz w:val="22"/>
          <w:szCs w:val="22"/>
        </w:rPr>
        <w:t xml:space="preserve"> para determinar el precio con orientación competitiva, ni tampoco describe cómo se utilizarían estos factores o su ponderación en el establecimiento de dichos precios.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Si no existe evidencia empírica sólida de los mecanismos y el cómo metodológicamente se determinarían precios con orientación competitiva correctos, entonces se correría un alto riesgo de que la determinación de los precios con orientación competitiva sea de forma incorrecta, discrecional, unilateral, arbitraria y con probabilidad de ser sujeta a corrupción.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Debido a lo siguiente, los factores mencionados en la iniciativa no son viables como base para imponer precios con orientación competitiva. La teoría económica realiza análisis a través de costos marginales y costos promedio y no así a través de costos normales de producción en el caso de análisis de mercados </w:t>
      </w:r>
      <w:proofErr w:type="gramStart"/>
      <w:r w:rsidRPr="00A95091">
        <w:rPr>
          <w:rFonts w:ascii="Arial" w:hAnsi="Arial" w:cs="Arial"/>
          <w:sz w:val="22"/>
          <w:szCs w:val="22"/>
        </w:rPr>
        <w:t>imperfectos</w:t>
      </w:r>
      <w:r w:rsidRPr="00A95091">
        <w:rPr>
          <w:rStyle w:val="superscript"/>
          <w:rFonts w:ascii="Arial" w:hAnsi="Arial" w:cs="Arial"/>
          <w:sz w:val="15"/>
          <w:szCs w:val="15"/>
        </w:rPr>
        <w:t>3</w:t>
      </w:r>
      <w:r w:rsidRPr="00A95091">
        <w:rPr>
          <w:rFonts w:ascii="Arial" w:hAnsi="Arial" w:cs="Arial"/>
          <w:sz w:val="22"/>
          <w:szCs w:val="22"/>
        </w:rPr>
        <w:t xml:space="preserve"> .</w:t>
      </w:r>
      <w:proofErr w:type="gramEnd"/>
      <w:r w:rsidRPr="00A95091">
        <w:rPr>
          <w:rFonts w:ascii="Arial" w:hAnsi="Arial" w:cs="Arial"/>
          <w:sz w:val="22"/>
          <w:szCs w:val="22"/>
        </w:rPr>
        <w:t xml:space="preserve"> Además, no es posible imponer un precio a empresas que operen en el mercado mexicano en base a condiciones diferentes dadas en otros mercados. Considerar como factor las políticas competitivas al momento de implementar precios con orientación competitiva (con rangos máximos o mínimos) resultaría algo contradictorio, debido a que dichas políticas </w:t>
      </w:r>
      <w:r w:rsidRPr="00A95091">
        <w:rPr>
          <w:rFonts w:ascii="Arial" w:hAnsi="Arial" w:cs="Arial"/>
          <w:sz w:val="22"/>
          <w:szCs w:val="22"/>
        </w:rPr>
        <w:lastRenderedPageBreak/>
        <w:t>promueven la libre concurrencia en el mercado y estimulan la presencia de nuevos integrantes para propiciar mayor oferta y diversidad de bienes y servicios.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De acuerdo a la OCDE, comparar precios entre países es una práctica común que ciertamente ocurre con regularidad, pero normalmente no con la perspectiva de usar comparaciones internacionales para el cumplimiento de leyes. El método usado en cada caso es altamente personalizado al producto. Para productos de los que es difícil obtener información, dichas comparaciones de precios son ejercicios complejos.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Cuarta.</w:t>
      </w:r>
      <w:r w:rsidRPr="00A95091">
        <w:rPr>
          <w:rFonts w:ascii="Arial" w:hAnsi="Arial" w:cs="Arial"/>
          <w:sz w:val="22"/>
          <w:szCs w:val="22"/>
        </w:rPr>
        <w:t xml:space="preserve"> La iniciativa, en su artículo 10, párrafo 2, menciona que la Comisión de Precios Competitivos puede ajustar los precios con orientación competitiva de un conjunto de bienes o insumos necesarios para la producción cuando su porcentaje de la tarifa de importación sea estadísticamente superior en grado significativo al porcentaje promedio ponderado de la tarifa de importación, de tal manera que impida al productor nacional ofrecer precios competitivos. Nuevamente se volvería a qué bases se tienen para comparar un conjunto de bienes o insumos con un universo tan vasto y diferente como lo es la tarifa de importación completa, la cual incluye más de 12,000 fracciones.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lo que respecta a esta comparación, la iniciativa no explica por qué no se utiliza como referente el promedio del sector al que pertenecen dichos bienes o insumos en vez del promedio ponderado de la tarifa de importación, ni tampoco justifica cuál es el antecedente que se tiene para tomar como base la tarifa completa. Comparar un producto con todos los existentes en la tarifa de importación no es un análisis completamente certero, debido a que no todos los sectores son iguales y no tienen el mismo nivel arancelario debido a características particulares de los productos que lo integran, como puede ser su sensibilidad a las importaciones.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Quinta.</w:t>
      </w:r>
      <w:r w:rsidRPr="00A95091">
        <w:rPr>
          <w:rFonts w:ascii="Arial" w:hAnsi="Arial" w:cs="Arial"/>
          <w:sz w:val="22"/>
          <w:szCs w:val="22"/>
        </w:rPr>
        <w:t xml:space="preserve"> El crear la Comisión Federal de Precios Competitivos, conforme a los lineamientos del artículo 18 de la iniciativa, generaría una erogación importante del erario público de la nación para cada año que ésta esté en funciones, debido a que se tendrían que otorgar recursos para su operación, como pago a personal e instalaciones muebles e inmuebles.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Como punto de referencia podemos citar la ya establecida Comisión Federal de Competencia y los recursos públicos que le son asignados cada año, para hacer un estimado de la erogación que haría el país para mantener en función a la Comisión Federal de Precios Competitivos; lo anterior para saber cuánto cuesta mantener una comisión federal en México, aproximadamente. Dicha cantidad, asignada a la Comisión de referencia, asciende a 155 millones 416 mil 178 pesos para el </w:t>
      </w:r>
      <w:proofErr w:type="gramStart"/>
      <w:r w:rsidRPr="00A95091">
        <w:rPr>
          <w:rFonts w:ascii="Arial" w:hAnsi="Arial" w:cs="Arial"/>
          <w:sz w:val="22"/>
          <w:szCs w:val="22"/>
        </w:rPr>
        <w:t>2010</w:t>
      </w:r>
      <w:r w:rsidRPr="00A95091">
        <w:rPr>
          <w:rStyle w:val="superscript"/>
          <w:rFonts w:ascii="Arial" w:hAnsi="Arial" w:cs="Arial"/>
          <w:sz w:val="15"/>
          <w:szCs w:val="15"/>
        </w:rPr>
        <w:t>4</w:t>
      </w:r>
      <w:r w:rsidRPr="00A95091">
        <w:rPr>
          <w:rFonts w:ascii="Arial" w:hAnsi="Arial" w:cs="Arial"/>
          <w:sz w:val="22"/>
          <w:szCs w:val="22"/>
        </w:rPr>
        <w:t xml:space="preserve"> .</w:t>
      </w:r>
      <w:proofErr w:type="gramEnd"/>
      <w:r w:rsidRPr="00A95091">
        <w:rPr>
          <w:rFonts w:ascii="Arial" w:hAnsi="Arial" w:cs="Arial"/>
          <w:sz w:val="22"/>
          <w:szCs w:val="22"/>
        </w:rPr>
        <w:t xml:space="preserve"> Cabe señalar que dicho importe no incluye el gasto en bienes muebles (mobiliario y equipo de administración, ni el equipo de comunicaciones y de uso informático) e inmuebles nuevos, por lo que el presupuesto podría ser más elevado.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El crear la comisión que propone la iniciativa va en contra de un gasto eficiente del erario público: no se pueden comprometer recursos públicos sin que se refleje que la ley propuesta va a funcionar de manera correcta. Lo anterior dadas las debilidades metodológicas encontradas en la iniciativa.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Sexta.</w:t>
      </w:r>
      <w:r w:rsidRPr="00A95091">
        <w:rPr>
          <w:rFonts w:ascii="Arial" w:hAnsi="Arial" w:cs="Arial"/>
          <w:sz w:val="22"/>
          <w:szCs w:val="22"/>
        </w:rPr>
        <w:t xml:space="preserve"> Para los precios con orientación competitiva, de acuerdo con el artículo 3, inciso c), de la iniciativa, se pretende que la Comisión de Precios Competitivos fije rangos </w:t>
      </w:r>
      <w:r w:rsidRPr="00A95091">
        <w:rPr>
          <w:rFonts w:ascii="Arial" w:hAnsi="Arial" w:cs="Arial"/>
          <w:sz w:val="22"/>
          <w:szCs w:val="22"/>
        </w:rPr>
        <w:lastRenderedPageBreak/>
        <w:t>máximos y/o mínimos. La iniciativa no es clara en los mecanismos metodológicos a través de los cuales, en qué ocasiones y bajo qué condiciones se impondrán rangos mínimos, rangos máximos o la combinación de rangos mínimos y rangos máximos creando una total incertidumbre a los agentes económicos. Si no existen reglas claras de los procesos a seguir lo único que crea es confusión e incertidumbre en los mercados.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el caso de utilizar la combinación de rangos mínimo y máximo para cierto producto, estos tendrían que ser continuos, para lo cual podría utilizarse un único rango. Si los rangos se establecieran como máximo y mínimo sin ser estos continuos, habría un rango o valor que quedaría vacío o sin utilizar y que crearía confusión.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De igual manera, para determinar que existe exageración de precios, no se establece qué valor del rango mínimo, del rango máximo o de la combinación de rango mínimo y rango máximo se tomaría en cuenta para determinar que el precio de venta es 10 por ciento superior al precio con orientación competitiva.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Séptima.</w:t>
      </w:r>
      <w:r w:rsidRPr="00A95091">
        <w:rPr>
          <w:rFonts w:ascii="Arial" w:hAnsi="Arial" w:cs="Arial"/>
          <w:sz w:val="22"/>
          <w:szCs w:val="22"/>
        </w:rPr>
        <w:t xml:space="preserve"> Que la iniciativa no hace mención ni expone algún estudio de impacto que se haya realizado para conocer las consecuencias que ésta pueda tener sobre los diversos sectores de la economía y productores que estén sujetos a los precios con orientación competitiva. De igual manera, no existe mención a algún estudio empíricamente sólido que indique que imponer precios con orientación competitiva sea la solución correcta a los efectos de prácticas anticompetitivas o monopólicas.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Dados los antecedentes de que se tiene conocimiento acerca de las consecuencias negativas de las imposiciones de precios, tales como la escasez, baja en la oferta y la inversión en los sectores controlados, creación de mercados negros, afectaciones a productores, entre otros, debemos estar seguros de los efectos que esta ley tendrá en los consumidores y productores y, sobre todo, en la economía nacional.</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Se deben conocer los efectos de la iniciativa para asegurar la implementación de la legislación y así proporcionar a los ciudadanos certidumbre en la aplicación correcta de la ley. No se pueden reformar leyes sin un sustento metodológico sólido y sin estudios </w:t>
      </w:r>
      <w:r w:rsidRPr="00A95091">
        <w:rPr>
          <w:rStyle w:val="italicas"/>
          <w:rFonts w:ascii="Arial" w:hAnsi="Arial" w:cs="Arial"/>
          <w:sz w:val="22"/>
          <w:szCs w:val="22"/>
        </w:rPr>
        <w:t>ex-ante</w:t>
      </w:r>
      <w:r w:rsidRPr="00A95091">
        <w:rPr>
          <w:rFonts w:ascii="Arial" w:hAnsi="Arial" w:cs="Arial"/>
          <w:sz w:val="22"/>
          <w:szCs w:val="22"/>
        </w:rPr>
        <w:t xml:space="preserve"> que avalúen el impacto que dicha ley tendrá. En tales reformas hay que ir a las raíces del problema y entender los múltiples factores que interactúan en él.</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Octava.</w:t>
      </w:r>
      <w:r w:rsidRPr="00A95091">
        <w:rPr>
          <w:rFonts w:ascii="Arial" w:hAnsi="Arial" w:cs="Arial"/>
          <w:sz w:val="22"/>
          <w:szCs w:val="22"/>
        </w:rPr>
        <w:t xml:space="preserve"> Por otra parte, de acuerdo a las disposiciones del artículo 7 de la iniciativa, bienes y servicios producidos por pequeños productores estarían sujetos a los precios con orientación competitiva. En el caso </w:t>
      </w:r>
      <w:proofErr w:type="gramStart"/>
      <w:r w:rsidRPr="00A95091">
        <w:rPr>
          <w:rFonts w:ascii="Arial" w:hAnsi="Arial" w:cs="Arial"/>
          <w:sz w:val="22"/>
          <w:szCs w:val="22"/>
        </w:rPr>
        <w:t>de los micro</w:t>
      </w:r>
      <w:proofErr w:type="gramEnd"/>
      <w:r w:rsidRPr="00A95091">
        <w:rPr>
          <w:rFonts w:ascii="Arial" w:hAnsi="Arial" w:cs="Arial"/>
          <w:sz w:val="22"/>
          <w:szCs w:val="22"/>
        </w:rPr>
        <w:t>, pequeños y medianos productores que compongan el resto del mercado, por ejemplo el 50 por ciento del mercado en el caso en que 50 por ciento esté concentrado en cuatro o menos oferentes de acuerdo al artículo 7°, inciso c), de la iniciativa, al imponerles precios con orientación competitiva se les estaría perjudicando. Lo anterior en virtud de que si dichos precios también aplican para ellos, sería muy difícil que, con la desventaja que tienen frente a los grandes productores en cuanto a tecnología y capacidad de producción, por ejemplo, reduzcan sus costos lo suficiente como para cumplir con la regulación impuesta por el gobierno.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A este respecto, cabe señalar que las micro, pequeñas y medianas empresas, en conjunto, aportan el 52 por ciento de PIB y contribuyen con el 72 por ciento del empleo </w:t>
      </w:r>
      <w:r w:rsidRPr="00A95091">
        <w:rPr>
          <w:rFonts w:ascii="Arial" w:hAnsi="Arial" w:cs="Arial"/>
          <w:sz w:val="22"/>
          <w:szCs w:val="22"/>
        </w:rPr>
        <w:lastRenderedPageBreak/>
        <w:t>total, y al imponerles precios con orientación competitiva correrían el riesgo de salir del mercado, al no poder cumplir con la regulación.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Por ejemplo, muchas veces no son los pequeños productores, particularmente los agrícolas, quienes elevan el precio del producto, por el contrario, en algunos casos les pagan cantidades muy bajas (</w:t>
      </w:r>
      <w:proofErr w:type="spellStart"/>
      <w:r w:rsidRPr="00A95091">
        <w:rPr>
          <w:rFonts w:ascii="Arial" w:hAnsi="Arial" w:cs="Arial"/>
          <w:sz w:val="22"/>
          <w:szCs w:val="22"/>
        </w:rPr>
        <w:t>aún</w:t>
      </w:r>
      <w:proofErr w:type="spellEnd"/>
      <w:r w:rsidRPr="00A95091">
        <w:rPr>
          <w:rFonts w:ascii="Arial" w:hAnsi="Arial" w:cs="Arial"/>
          <w:sz w:val="22"/>
          <w:szCs w:val="22"/>
        </w:rPr>
        <w:t xml:space="preserve"> cuando ese monto signifique pérdida para ellos) y aparte deben respetar una serie de estándares para evitar una reducción en el pago de su producto, lo que implica costos. Habría que conocer los factores que intervienen a lo largo de la cadena productiva y que tienen efecto en el costo de producción y en el precio final al consumidor, es decir, hallar la raíz del problema a nivel de cada producto.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El aumento de precios de productos necesarios o de consumo popular en México, muchas veces no es simplemente por la voluntad de los productores o un caso aislado y particular, sino que es la consecuencia, entre otros, de la tendencia global de dichos bienes, de las ineficiencias a lo largo de las cadenas productivas y la gran volatilidad que existe en los mercados nacional e internacional, particularmente en productos agrícolas.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Imponer precios con orientación competitiva a artículos de consumo necesario, implicaría no tomar en cuenta la volatilidad de los precios de productos agropecuarios, causada por efectos climáticos, estacionales, tipo de cambio, oferta, entre otros, los cuales notoriamente no está al alcance de los productores controlar. De la misma forma, significaría no tomar en cuenta causas internacionales que ocasionan dichos cambios en el precio, como lo son crisis o desaceleración económica, cambios en el nivel de producción o en las políticas de exportación de los principales productores de dichos alimentos, entre otros, ante los cuales también es muy difícil permanecer aislados, debido a la situación globalizada en que se encuentra el mundo, y de la cual México es parte.</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Organización de la Naciones Unidas para la Agricultura y la Alimentación (FAO) señala que las principales causas que han provocado el aumento de los precios de los alimentos básicos en el mundo son: a) el incremento de la demanda de alimentos en países con altos niveles de crecimiento económico; b) la creciente demanda de algunos granos básicos y sus derivados (como maíz y algunos vegetales) para la producción de biocombustibles, principalmente etanol y biodiesel, lo cual está provocando gran escasez y encarecimiento de ellos a nivel mundial; y c) se observa que debido al crecimiento de la población mundial la demanda de dichos productos va en aumento</w:t>
      </w:r>
      <w:r w:rsidRPr="00A95091">
        <w:rPr>
          <w:rStyle w:val="superscript"/>
          <w:rFonts w:ascii="Arial" w:hAnsi="Arial" w:cs="Arial"/>
          <w:sz w:val="15"/>
          <w:szCs w:val="15"/>
        </w:rPr>
        <w:t>1</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Décima Novena.</w:t>
      </w:r>
      <w:r w:rsidRPr="00A95091">
        <w:rPr>
          <w:rFonts w:ascii="Arial" w:hAnsi="Arial" w:cs="Arial"/>
          <w:sz w:val="22"/>
          <w:szCs w:val="22"/>
        </w:rPr>
        <w:t xml:space="preserve"> Aunado a los argumentos anteriores, existen antecedentes y experiencias históricos, además de la teoría económica, que señalan las consecuencias negativas a que conlleva un control de precios. El control parcial y selectivo de los precios en México, durante el periodo 1984-1994, afectó el poder adquisitivo de la población y contribuyó a generar una estructura productiva y de mercado oligopólicas. De la misma manera, resultó transformador de las cadenas productivas nacionales, del funcionamiento del mercado interno y, en consecuencia, de los determinantes del nivel de poder adquisitivo de la población. En esa época, se generó una recesión de la actividad económica, originada en distorsiones creadas en el funcionamiento del mercado interno, resultado directo del crecimiento desigual entre precios y poder adquisitivo</w:t>
      </w:r>
      <w:r w:rsidRPr="00A95091">
        <w:rPr>
          <w:rStyle w:val="superscript"/>
          <w:rFonts w:ascii="Arial" w:hAnsi="Arial" w:cs="Arial"/>
          <w:sz w:val="15"/>
          <w:szCs w:val="15"/>
        </w:rPr>
        <w:t>6</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Un control de precios no conlleva a la competitividad del sector. Evidencia de ello la podemos encontrar en Latinoamérica, donde “Las políticas de precios seguidas por el gobierno de Bolivia han distorsionado los precios de los productos agropecuarios, de </w:t>
      </w:r>
      <w:r w:rsidRPr="00A95091">
        <w:rPr>
          <w:rFonts w:ascii="Arial" w:hAnsi="Arial" w:cs="Arial"/>
          <w:sz w:val="22"/>
          <w:szCs w:val="22"/>
        </w:rPr>
        <w:lastRenderedPageBreak/>
        <w:t>manera que no coinciden con los precios internacionales y, en consecuencia, han fomentado una producción ineficiente”</w:t>
      </w:r>
      <w:r w:rsidRPr="00A95091">
        <w:rPr>
          <w:rStyle w:val="superscript"/>
          <w:rFonts w:ascii="Arial" w:hAnsi="Arial" w:cs="Arial"/>
          <w:sz w:val="15"/>
          <w:szCs w:val="15"/>
        </w:rPr>
        <w:t>7</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el siglo pasado, el control de precios era una política generalizada. Escasez, racionalización, colas y subsidio del gobierno sobre los productos controlados, fueron las consecuencias de esta tendencia. “La inflación, causa principal del aumento generalizado de los precios, fue desatada en muchos países, paradójicamente, por las políticas de control de precios, que terminaron convirtiendo al gobierno en productor, importador y distribuidor, con grandes pérdidas de los productos controlados”</w:t>
      </w:r>
      <w:proofErr w:type="gramStart"/>
      <w:r w:rsidRPr="00A95091">
        <w:rPr>
          <w:rStyle w:val="superscript"/>
          <w:rFonts w:ascii="Arial" w:hAnsi="Arial" w:cs="Arial"/>
          <w:sz w:val="15"/>
          <w:szCs w:val="15"/>
        </w:rPr>
        <w:t>8</w:t>
      </w:r>
      <w:r w:rsidRPr="00A95091">
        <w:rPr>
          <w:rFonts w:ascii="Arial" w:hAnsi="Arial" w:cs="Arial"/>
          <w:sz w:val="22"/>
          <w:szCs w:val="22"/>
        </w:rPr>
        <w:t xml:space="preserve"> .</w:t>
      </w:r>
      <w:proofErr w:type="gramEnd"/>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Otra consecuencia del control de precios es el estancamiento de la inversión, nacional y extranjera, como se refleja en que “La apertura del mercado repercute en mejor servicio y estabilización de precios. Las empresas extranjeras entrarían en México para generar utilidades, y mientras la condición de imposición de precios permanezca, difícilmente querrán ser parte de un medio con precio controlado. El congelamiento de precios (y la falta de una política clara para la apertura del mercado) son las razones que obligan a las firmas extranjeras a mantenerse al margen del mercado mexicano”</w:t>
      </w:r>
      <w:proofErr w:type="gramStart"/>
      <w:r w:rsidRPr="00A95091">
        <w:rPr>
          <w:rStyle w:val="superscript"/>
          <w:rFonts w:ascii="Arial" w:hAnsi="Arial" w:cs="Arial"/>
          <w:sz w:val="15"/>
          <w:szCs w:val="15"/>
        </w:rPr>
        <w:t>9</w:t>
      </w:r>
      <w:r w:rsidRPr="00A95091">
        <w:rPr>
          <w:rFonts w:ascii="Arial" w:hAnsi="Arial" w:cs="Arial"/>
          <w:sz w:val="22"/>
          <w:szCs w:val="22"/>
        </w:rPr>
        <w:t xml:space="preserve"> .</w:t>
      </w:r>
      <w:proofErr w:type="gramEnd"/>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En cuanto a la intensificación de los controles de precios o establecimiento de precios con orientación competitiva por parte de la autoridad, la lógica reacción empresarial es la de abstenerse de invertir en actividades destinadas a la oferta de tales productos. El control de precios podría producir a la larga el traslado de los recursos productivos involucrados en la producción de bienes cuyos precios están controlados o regulados con precios con orientación competitiva a la de aquellos cuyos precios no lo están.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Por otra parte, un estudio sobre la transición de economías planificadas a economías de mercado en Europa Oriental concluyó que “la liberalización de los precios resulta en menor inflación que las políticas de control de los precios”</w:t>
      </w:r>
      <w:proofErr w:type="gramStart"/>
      <w:r w:rsidRPr="00A95091">
        <w:rPr>
          <w:rStyle w:val="superscript"/>
          <w:rFonts w:ascii="Arial" w:hAnsi="Arial" w:cs="Arial"/>
          <w:sz w:val="15"/>
          <w:szCs w:val="15"/>
        </w:rPr>
        <w:t>10</w:t>
      </w:r>
      <w:r w:rsidRPr="00A95091">
        <w:rPr>
          <w:rFonts w:ascii="Arial" w:hAnsi="Arial" w:cs="Arial"/>
          <w:sz w:val="22"/>
          <w:szCs w:val="22"/>
        </w:rPr>
        <w:t xml:space="preserve"> .</w:t>
      </w:r>
      <w:proofErr w:type="gramEnd"/>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Vigésima.</w:t>
      </w:r>
      <w:r w:rsidRPr="00A95091">
        <w:rPr>
          <w:rFonts w:ascii="Arial" w:hAnsi="Arial" w:cs="Arial"/>
          <w:sz w:val="22"/>
          <w:szCs w:val="22"/>
        </w:rPr>
        <w:t xml:space="preserve"> En el caso de que el precio de un producto o insumo de importación sea más alto que el establecido por el precio con orientación competitiva del mismo, la iniciativa no precisa si estas importaciones también estarán sujetas a la referencia del precio con orientación competitiva establecido. En caso de que estuvieran sujetas a ello, esta medida podría estar imponiendo restricciones comerciales, contrarias a lo dispuesto en los diversos tratados de libre comercio que México tiene firmados, así como a los compromisos establecidos en la Organización Mundial de Comercio. Así, pueden existir diversas cualidades que hagan que el producto importado sea más caro que lo impuesto por un precio con orientación competitiva; su diferencia en calidad, por ejemplo.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De la misma forma, hay diversidad en la calidad de los productos y la combinación de factores productivos e insumos utilizados en diversas regiones de México, en los tipos de empresa (micro, pequeña, mediana y grande empresa) y en las habilidades gerenciales o productivas de los empresarios o productores, que pueden reflejarse en los diversos costos y precios ofrecidos. Imponer un único precio con orientación competitiva tendría un grave error de generalización de algo que no es generalizable por las diferencias que existen a nivel regional, geográfico, empresarial, de tamaño de empresa, de sector, entre muchos otros factores con diferencias.</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Vigésima Primera.</w:t>
      </w:r>
      <w:r w:rsidRPr="00A95091">
        <w:rPr>
          <w:rFonts w:ascii="Arial" w:hAnsi="Arial" w:cs="Arial"/>
          <w:sz w:val="22"/>
          <w:szCs w:val="22"/>
        </w:rPr>
        <w:t xml:space="preserve"> Debido a lo anterior, los CC. Diputados que integran esta Comisión de Economía, opinan que la fijación de precios sugerida por la iniciativa podría tener un </w:t>
      </w:r>
      <w:r w:rsidRPr="00A95091">
        <w:rPr>
          <w:rFonts w:ascii="Arial" w:hAnsi="Arial" w:cs="Arial"/>
          <w:sz w:val="22"/>
          <w:szCs w:val="22"/>
        </w:rPr>
        <w:lastRenderedPageBreak/>
        <w:t>efecto adverso al dejarse de generar eficiencias económicas en el mercado, lo que disminuiría la competitividad, el sano desarrollo de los mercados, el empleo, la innovación y la inversión.</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De la misma manera, la falta de una metodología contundente mermaría el cumplimiento de los objetivos de la iniciativa, como es el establecer mecanismos que logren mantener un sano equilibrio en la determinación de precios.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Debido a que el método básico para organizar la producción en una economía de mercado es a través del sistema de precios, la flexibilidad de estos es primordial. Los precios fluctúan para llevar la demanda y la oferta al equilibrio. Más aún, debería tomarse en cuenta que comparaciones de precios y/o ganancias entre diferentes empresas, mercados, o países están llenos de problemas legales y económicos. Los intentos del gobierno para controlar los precios son inconsistentes con la filosofía fundamental de la política de </w:t>
      </w:r>
      <w:proofErr w:type="gramStart"/>
      <w:r w:rsidRPr="00A95091">
        <w:rPr>
          <w:rFonts w:ascii="Arial" w:hAnsi="Arial" w:cs="Arial"/>
          <w:sz w:val="22"/>
          <w:szCs w:val="22"/>
        </w:rPr>
        <w:t>competencia</w:t>
      </w:r>
      <w:r w:rsidRPr="00A95091">
        <w:rPr>
          <w:rStyle w:val="superscript"/>
          <w:rFonts w:ascii="Arial" w:hAnsi="Arial" w:cs="Arial"/>
          <w:sz w:val="15"/>
          <w:szCs w:val="15"/>
        </w:rPr>
        <w:t>11</w:t>
      </w:r>
      <w:r w:rsidRPr="00A95091">
        <w:rPr>
          <w:rFonts w:ascii="Arial" w:hAnsi="Arial" w:cs="Arial"/>
          <w:sz w:val="22"/>
          <w:szCs w:val="22"/>
        </w:rPr>
        <w:t xml:space="preserve"> .</w:t>
      </w:r>
      <w:proofErr w:type="gramEnd"/>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Vigésima Segunda.</w:t>
      </w:r>
      <w:r w:rsidRPr="00A95091">
        <w:rPr>
          <w:rFonts w:ascii="Arial" w:hAnsi="Arial" w:cs="Arial"/>
          <w:sz w:val="22"/>
          <w:szCs w:val="22"/>
        </w:rPr>
        <w:t xml:space="preserve"> Que la Comisión de Presupuesto y Cuenta Pública, con fundamento en los artículos 39, numeral 1, y 45, numeral 6, incisos e), f) y g), de la Ley Orgánica del Congreso General de los Estados Unidos Mexicanos, y el artículo 18, párrafo tercero, de la Ley Federal de Presupuesto y Responsabilidad Hacendaria; con base en la valoración de impacto presupuestario realizada por el Centro de Estudios de las Finanzas Públicas y en el análisis realizado a la iniciativa que expide la Ley de Precios Competitivos, opina que dicha iniciativa implica un impacto presupuestario de 155.4 millones de pesos destinados a la creación de la Comisión Federal de Precios Competitivos, a la que hace referencia la propia iniciativa.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Vigésima Tercera.</w:t>
      </w:r>
      <w:r w:rsidRPr="00A95091">
        <w:rPr>
          <w:rFonts w:ascii="Arial" w:hAnsi="Arial" w:cs="Arial"/>
          <w:sz w:val="22"/>
          <w:szCs w:val="22"/>
        </w:rPr>
        <w:t xml:space="preserve"> Que los diputados de esta Comisión de Economía recomiendan desechar la iniciativa presentada, ya que, aunque existen rasgos dentro de sus objetivos para beneficiar a los consumidores, no forma parte de la metodología aceptada internacionalmente para combatir los efectos de las prácticas anticompetitivas y monopólicas respecto a las leyes de competencia. Además, de acuerdo a la OCDE no existe metodología general para determinar precios excesivos ya que es muy difícil establecer un límite más allá del cual un precio pueda ser considerado excesivo o irracional.</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Vigésima Cuarta.</w:t>
      </w:r>
      <w:r w:rsidRPr="00A95091">
        <w:rPr>
          <w:rFonts w:ascii="Arial" w:hAnsi="Arial" w:cs="Arial"/>
          <w:sz w:val="22"/>
          <w:szCs w:val="22"/>
        </w:rPr>
        <w:t xml:space="preserve"> Por lo anteriormente expuesto.</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La honorable Cámara de Diputados Acuerda</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Primero.</w:t>
      </w:r>
      <w:r w:rsidRPr="00A95091">
        <w:rPr>
          <w:rFonts w:ascii="Arial" w:hAnsi="Arial" w:cs="Arial"/>
          <w:sz w:val="22"/>
          <w:szCs w:val="22"/>
        </w:rPr>
        <w:t xml:space="preserve"> Se desecha la iniciativa que expide la Ley de Precios Competitivos, por las razones expuestas en las consideraciones de presente dictamen.</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Segundo.</w:t>
      </w:r>
      <w:r w:rsidRPr="00A95091">
        <w:rPr>
          <w:rFonts w:ascii="Arial" w:hAnsi="Arial" w:cs="Arial"/>
          <w:sz w:val="22"/>
          <w:szCs w:val="22"/>
        </w:rPr>
        <w:t xml:space="preserve"> Archívese el presente asunto, como total y definitivamente concluido.</w:t>
      </w:r>
    </w:p>
    <w:p w:rsidR="00667296" w:rsidRPr="00A95091" w:rsidRDefault="00667296" w:rsidP="00667296">
      <w:pPr>
        <w:pStyle w:val="firmas"/>
        <w:rPr>
          <w:rFonts w:ascii="Arial" w:hAnsi="Arial" w:cs="Arial"/>
        </w:rPr>
      </w:pPr>
      <w:r w:rsidRPr="00A95091">
        <w:rPr>
          <w:rStyle w:val="negritas"/>
          <w:rFonts w:ascii="Arial" w:hAnsi="Arial" w:cs="Arial"/>
        </w:rPr>
        <w:t>Notas:</w:t>
      </w:r>
      <w:r w:rsidRPr="00A95091">
        <w:rPr>
          <w:rFonts w:ascii="Arial" w:hAnsi="Arial" w:cs="Arial"/>
        </w:rPr>
        <w:t xml:space="preserve"> </w:t>
      </w:r>
    </w:p>
    <w:p w:rsidR="00667296" w:rsidRPr="00A95091" w:rsidRDefault="00667296" w:rsidP="00667296">
      <w:pPr>
        <w:pStyle w:val="firmas"/>
        <w:rPr>
          <w:rFonts w:ascii="Arial" w:hAnsi="Arial" w:cs="Arial"/>
        </w:rPr>
      </w:pPr>
      <w:r w:rsidRPr="00A95091">
        <w:rPr>
          <w:rFonts w:ascii="Arial" w:hAnsi="Arial" w:cs="Arial"/>
        </w:rPr>
        <w:t>1 OECD por sus siglas en inglés.</w:t>
      </w:r>
    </w:p>
    <w:p w:rsidR="00667296" w:rsidRPr="00A95091" w:rsidRDefault="00667296" w:rsidP="00667296">
      <w:pPr>
        <w:pStyle w:val="firmas"/>
        <w:rPr>
          <w:rFonts w:ascii="Arial" w:hAnsi="Arial" w:cs="Arial"/>
        </w:rPr>
      </w:pPr>
      <w:r w:rsidRPr="00A95091">
        <w:rPr>
          <w:rFonts w:ascii="Arial" w:hAnsi="Arial" w:cs="Arial"/>
        </w:rPr>
        <w:t>2 Documento CEFP/012/2004. “Salvaguardas y cuotas agrícolas en el TLCAN”, p. 9. Centro de Estudios de las Finanzas Públicas, H. Cámara de Diputados.</w:t>
      </w:r>
    </w:p>
    <w:p w:rsidR="00667296" w:rsidRPr="00A95091" w:rsidRDefault="00667296" w:rsidP="00667296">
      <w:pPr>
        <w:pStyle w:val="firmas"/>
        <w:rPr>
          <w:rFonts w:ascii="Arial" w:hAnsi="Arial" w:cs="Arial"/>
        </w:rPr>
      </w:pPr>
      <w:r w:rsidRPr="00A95091">
        <w:rPr>
          <w:rFonts w:ascii="Arial" w:hAnsi="Arial" w:cs="Arial"/>
        </w:rPr>
        <w:lastRenderedPageBreak/>
        <w:t xml:space="preserve">3 Walter </w:t>
      </w:r>
      <w:proofErr w:type="spellStart"/>
      <w:r w:rsidRPr="00A95091">
        <w:rPr>
          <w:rFonts w:ascii="Arial" w:hAnsi="Arial" w:cs="Arial"/>
        </w:rPr>
        <w:t>Nicholson</w:t>
      </w:r>
      <w:proofErr w:type="spellEnd"/>
      <w:r w:rsidRPr="00A95091">
        <w:rPr>
          <w:rFonts w:ascii="Arial" w:hAnsi="Arial" w:cs="Arial"/>
        </w:rPr>
        <w:t xml:space="preserve">, </w:t>
      </w:r>
      <w:r w:rsidRPr="00A95091">
        <w:rPr>
          <w:rStyle w:val="italicas"/>
          <w:rFonts w:ascii="Arial" w:hAnsi="Arial" w:cs="Arial"/>
        </w:rPr>
        <w:t xml:space="preserve">Teoría </w:t>
      </w:r>
      <w:proofErr w:type="gramStart"/>
      <w:r w:rsidRPr="00A95091">
        <w:rPr>
          <w:rStyle w:val="italicas"/>
          <w:rFonts w:ascii="Arial" w:hAnsi="Arial" w:cs="Arial"/>
        </w:rPr>
        <w:t>Microeconómica</w:t>
      </w:r>
      <w:r w:rsidRPr="00A95091">
        <w:rPr>
          <w:rFonts w:ascii="Arial" w:hAnsi="Arial" w:cs="Arial"/>
        </w:rPr>
        <w:t xml:space="preserve"> .</w:t>
      </w:r>
      <w:proofErr w:type="gramEnd"/>
      <w:r w:rsidRPr="00A95091">
        <w:rPr>
          <w:rFonts w:ascii="Arial" w:hAnsi="Arial" w:cs="Arial"/>
        </w:rPr>
        <w:t xml:space="preserve"> 2007, p. 404.</w:t>
      </w:r>
    </w:p>
    <w:p w:rsidR="00667296" w:rsidRPr="00A95091" w:rsidRDefault="00667296" w:rsidP="00667296">
      <w:pPr>
        <w:pStyle w:val="firmas"/>
        <w:rPr>
          <w:rFonts w:ascii="Arial" w:hAnsi="Arial" w:cs="Arial"/>
        </w:rPr>
      </w:pPr>
      <w:r w:rsidRPr="00A95091">
        <w:rPr>
          <w:rFonts w:ascii="Arial" w:hAnsi="Arial" w:cs="Arial"/>
        </w:rPr>
        <w:t xml:space="preserve">4 “Valoración del impacto presupuestario a la iniciativa que expide la Ley de Precios Competitivos, presentada por el diputado Mario Alberto di </w:t>
      </w:r>
      <w:proofErr w:type="spellStart"/>
      <w:r w:rsidRPr="00A95091">
        <w:rPr>
          <w:rFonts w:ascii="Arial" w:hAnsi="Arial" w:cs="Arial"/>
        </w:rPr>
        <w:t>Costanzo</w:t>
      </w:r>
      <w:proofErr w:type="spellEnd"/>
      <w:r w:rsidRPr="00A95091">
        <w:rPr>
          <w:rFonts w:ascii="Arial" w:hAnsi="Arial" w:cs="Arial"/>
        </w:rPr>
        <w:t xml:space="preserve"> Armenta, del Grupo Parlamentario del PT”, Centro de Estudios de las Finanzas Públicas, H. Cámara de Diputados.</w:t>
      </w:r>
    </w:p>
    <w:p w:rsidR="00667296" w:rsidRPr="00A95091" w:rsidRDefault="00667296" w:rsidP="00667296">
      <w:pPr>
        <w:pStyle w:val="firmas"/>
        <w:rPr>
          <w:rFonts w:ascii="Arial" w:hAnsi="Arial" w:cs="Arial"/>
        </w:rPr>
      </w:pPr>
      <w:r w:rsidRPr="00A95091">
        <w:rPr>
          <w:rFonts w:ascii="Arial" w:hAnsi="Arial" w:cs="Arial"/>
        </w:rPr>
        <w:t xml:space="preserve">5 Organización de las Naciones Unidas para la Agricultura y la Alimentación (FAO). </w:t>
      </w:r>
      <w:r w:rsidRPr="00A95091">
        <w:rPr>
          <w:rStyle w:val="italicas"/>
          <w:rFonts w:ascii="Arial" w:hAnsi="Arial" w:cs="Arial"/>
        </w:rPr>
        <w:t>Conferencia de alto nivel sobre la seguridad alimentaria mundial: los desafíos del cambio climático y la bioenergía.</w:t>
      </w:r>
      <w:r w:rsidRPr="00A95091">
        <w:rPr>
          <w:rFonts w:ascii="Arial" w:hAnsi="Arial" w:cs="Arial"/>
        </w:rPr>
        <w:t xml:space="preserve"> Aumento de los precios de los alimentos: hechos, perspectivas, impacto y acciones requeridas. Abril, 2008.</w:t>
      </w:r>
    </w:p>
    <w:p w:rsidR="00667296" w:rsidRPr="00A95091" w:rsidRDefault="00667296" w:rsidP="00667296">
      <w:pPr>
        <w:pStyle w:val="firmas"/>
        <w:rPr>
          <w:rFonts w:ascii="Arial" w:hAnsi="Arial" w:cs="Arial"/>
        </w:rPr>
      </w:pPr>
      <w:r w:rsidRPr="00A95091">
        <w:rPr>
          <w:rFonts w:ascii="Arial" w:hAnsi="Arial" w:cs="Arial"/>
        </w:rPr>
        <w:t xml:space="preserve">6 Vásquez López Raúl. Primer cuatrimestre de 2008. “Los orígenes de la política de estabilidad macroeconómica: el costo del control de precios en México, 1984-1994”. </w:t>
      </w:r>
      <w:r w:rsidRPr="00A95091">
        <w:rPr>
          <w:rStyle w:val="italicas"/>
          <w:rFonts w:ascii="Arial" w:hAnsi="Arial" w:cs="Arial"/>
        </w:rPr>
        <w:t xml:space="preserve">Análisis </w:t>
      </w:r>
      <w:proofErr w:type="gramStart"/>
      <w:r w:rsidRPr="00A95091">
        <w:rPr>
          <w:rStyle w:val="italicas"/>
          <w:rFonts w:ascii="Arial" w:hAnsi="Arial" w:cs="Arial"/>
        </w:rPr>
        <w:t>Económico</w:t>
      </w:r>
      <w:r w:rsidRPr="00A95091">
        <w:rPr>
          <w:rFonts w:ascii="Arial" w:hAnsi="Arial" w:cs="Arial"/>
        </w:rPr>
        <w:t xml:space="preserve"> ,</w:t>
      </w:r>
      <w:proofErr w:type="gramEnd"/>
      <w:r w:rsidRPr="00A95091">
        <w:rPr>
          <w:rFonts w:ascii="Arial" w:hAnsi="Arial" w:cs="Arial"/>
        </w:rPr>
        <w:t xml:space="preserve"> año 52, volumen XXIII, pp. 77, 78, 88 y 90.</w:t>
      </w:r>
    </w:p>
    <w:p w:rsidR="00667296" w:rsidRPr="00A95091" w:rsidRDefault="00667296" w:rsidP="00667296">
      <w:pPr>
        <w:pStyle w:val="firmas"/>
        <w:rPr>
          <w:rFonts w:ascii="Arial" w:hAnsi="Arial" w:cs="Arial"/>
        </w:rPr>
      </w:pPr>
      <w:r w:rsidRPr="00A95091">
        <w:rPr>
          <w:rFonts w:ascii="Arial" w:hAnsi="Arial" w:cs="Arial"/>
        </w:rPr>
        <w:t xml:space="preserve">7 “Bolivia: </w:t>
      </w:r>
      <w:proofErr w:type="spellStart"/>
      <w:r w:rsidRPr="00A95091">
        <w:rPr>
          <w:rFonts w:ascii="Arial" w:hAnsi="Arial" w:cs="Arial"/>
        </w:rPr>
        <w:t>Agricultural</w:t>
      </w:r>
      <w:proofErr w:type="spellEnd"/>
      <w:r w:rsidRPr="00A95091">
        <w:rPr>
          <w:rFonts w:ascii="Arial" w:hAnsi="Arial" w:cs="Arial"/>
        </w:rPr>
        <w:t xml:space="preserve"> </w:t>
      </w:r>
      <w:proofErr w:type="spellStart"/>
      <w:r w:rsidRPr="00A95091">
        <w:rPr>
          <w:rFonts w:ascii="Arial" w:hAnsi="Arial" w:cs="Arial"/>
        </w:rPr>
        <w:t>pricing</w:t>
      </w:r>
      <w:proofErr w:type="spellEnd"/>
      <w:r w:rsidRPr="00A95091">
        <w:rPr>
          <w:rFonts w:ascii="Arial" w:hAnsi="Arial" w:cs="Arial"/>
        </w:rPr>
        <w:t xml:space="preserve"> and </w:t>
      </w:r>
      <w:proofErr w:type="spellStart"/>
      <w:r w:rsidRPr="00A95091">
        <w:rPr>
          <w:rFonts w:ascii="Arial" w:hAnsi="Arial" w:cs="Arial"/>
        </w:rPr>
        <w:t>investment</w:t>
      </w:r>
      <w:proofErr w:type="spellEnd"/>
      <w:r w:rsidRPr="00A95091">
        <w:rPr>
          <w:rFonts w:ascii="Arial" w:hAnsi="Arial" w:cs="Arial"/>
        </w:rPr>
        <w:t xml:space="preserve"> </w:t>
      </w:r>
      <w:proofErr w:type="spellStart"/>
      <w:r w:rsidRPr="00A95091">
        <w:rPr>
          <w:rFonts w:ascii="Arial" w:hAnsi="Arial" w:cs="Arial"/>
        </w:rPr>
        <w:t>policies</w:t>
      </w:r>
      <w:proofErr w:type="spellEnd"/>
      <w:r w:rsidRPr="00A95091">
        <w:rPr>
          <w:rFonts w:ascii="Arial" w:hAnsi="Arial" w:cs="Arial"/>
        </w:rPr>
        <w:t>”. Banco Mundial, 1984.</w:t>
      </w:r>
    </w:p>
    <w:p w:rsidR="00667296" w:rsidRPr="00A95091" w:rsidRDefault="00667296" w:rsidP="00667296">
      <w:pPr>
        <w:pStyle w:val="firmas"/>
        <w:rPr>
          <w:rFonts w:ascii="Arial" w:hAnsi="Arial" w:cs="Arial"/>
        </w:rPr>
      </w:pPr>
      <w:r w:rsidRPr="00A95091">
        <w:rPr>
          <w:rFonts w:ascii="Arial" w:hAnsi="Arial" w:cs="Arial"/>
        </w:rPr>
        <w:t xml:space="preserve">8 Pazos Luis. Febrero, 2007. “Bajos precios ¿con controles o competencia e información?”. </w:t>
      </w:r>
      <w:r w:rsidRPr="00A95091">
        <w:rPr>
          <w:rStyle w:val="italicas"/>
          <w:rFonts w:ascii="Arial" w:hAnsi="Arial" w:cs="Arial"/>
        </w:rPr>
        <w:t xml:space="preserve">Proteja su </w:t>
      </w:r>
      <w:proofErr w:type="gramStart"/>
      <w:r w:rsidRPr="00A95091">
        <w:rPr>
          <w:rStyle w:val="italicas"/>
          <w:rFonts w:ascii="Arial" w:hAnsi="Arial" w:cs="Arial"/>
        </w:rPr>
        <w:t>dinero</w:t>
      </w:r>
      <w:r w:rsidRPr="00A95091">
        <w:rPr>
          <w:rFonts w:ascii="Arial" w:hAnsi="Arial" w:cs="Arial"/>
        </w:rPr>
        <w:t xml:space="preserve"> ,</w:t>
      </w:r>
      <w:proofErr w:type="gramEnd"/>
      <w:r w:rsidRPr="00A95091">
        <w:rPr>
          <w:rFonts w:ascii="Arial" w:hAnsi="Arial" w:cs="Arial"/>
        </w:rPr>
        <w:t xml:space="preserve"> año 7, número 83, p. 11.</w:t>
      </w:r>
    </w:p>
    <w:p w:rsidR="00667296" w:rsidRPr="00A95091" w:rsidRDefault="00667296" w:rsidP="00667296">
      <w:pPr>
        <w:pStyle w:val="firmas"/>
        <w:rPr>
          <w:rFonts w:ascii="Arial" w:hAnsi="Arial" w:cs="Arial"/>
        </w:rPr>
      </w:pPr>
      <w:r w:rsidRPr="00A95091">
        <w:rPr>
          <w:rFonts w:ascii="Arial" w:hAnsi="Arial" w:cs="Arial"/>
        </w:rPr>
        <w:t xml:space="preserve">9 Campos Avilés Ernesto. Septiembre, 2001. “Control de precios, traba para invertir”. </w:t>
      </w:r>
      <w:r w:rsidRPr="00A95091">
        <w:rPr>
          <w:rStyle w:val="italicas"/>
          <w:rFonts w:ascii="Arial" w:hAnsi="Arial" w:cs="Arial"/>
        </w:rPr>
        <w:t xml:space="preserve">Petróleo y </w:t>
      </w:r>
      <w:proofErr w:type="gramStart"/>
      <w:r w:rsidRPr="00A95091">
        <w:rPr>
          <w:rStyle w:val="italicas"/>
          <w:rFonts w:ascii="Arial" w:hAnsi="Arial" w:cs="Arial"/>
        </w:rPr>
        <w:t>Electricidad</w:t>
      </w:r>
      <w:r w:rsidRPr="00A95091">
        <w:rPr>
          <w:rFonts w:ascii="Arial" w:hAnsi="Arial" w:cs="Arial"/>
        </w:rPr>
        <w:t xml:space="preserve"> ,</w:t>
      </w:r>
      <w:proofErr w:type="gramEnd"/>
      <w:r w:rsidRPr="00A95091">
        <w:rPr>
          <w:rFonts w:ascii="Arial" w:hAnsi="Arial" w:cs="Arial"/>
        </w:rPr>
        <w:t xml:space="preserve"> año 6, número 67, pp. 7-8.</w:t>
      </w:r>
    </w:p>
    <w:p w:rsidR="00667296" w:rsidRPr="00A95091" w:rsidRDefault="00667296" w:rsidP="00667296">
      <w:pPr>
        <w:pStyle w:val="firmas"/>
        <w:rPr>
          <w:rFonts w:ascii="Arial" w:hAnsi="Arial" w:cs="Arial"/>
          <w:lang w:val="en-US"/>
        </w:rPr>
      </w:pPr>
      <w:r w:rsidRPr="00A95091">
        <w:rPr>
          <w:rFonts w:ascii="Arial" w:hAnsi="Arial" w:cs="Arial"/>
        </w:rPr>
        <w:t xml:space="preserve">10 De Melo Martha, </w:t>
      </w:r>
      <w:proofErr w:type="spellStart"/>
      <w:r w:rsidRPr="00A95091">
        <w:rPr>
          <w:rFonts w:ascii="Arial" w:hAnsi="Arial" w:cs="Arial"/>
        </w:rPr>
        <w:t>Denizer</w:t>
      </w:r>
      <w:proofErr w:type="spellEnd"/>
      <w:r w:rsidRPr="00A95091">
        <w:rPr>
          <w:rFonts w:ascii="Arial" w:hAnsi="Arial" w:cs="Arial"/>
        </w:rPr>
        <w:t xml:space="preserve"> </w:t>
      </w:r>
      <w:proofErr w:type="spellStart"/>
      <w:r w:rsidRPr="00A95091">
        <w:rPr>
          <w:rFonts w:ascii="Arial" w:hAnsi="Arial" w:cs="Arial"/>
        </w:rPr>
        <w:t>Cevdet</w:t>
      </w:r>
      <w:proofErr w:type="spellEnd"/>
      <w:r w:rsidRPr="00A95091">
        <w:rPr>
          <w:rFonts w:ascii="Arial" w:hAnsi="Arial" w:cs="Arial"/>
        </w:rPr>
        <w:t xml:space="preserve"> y </w:t>
      </w:r>
      <w:proofErr w:type="spellStart"/>
      <w:r w:rsidRPr="00A95091">
        <w:rPr>
          <w:rFonts w:ascii="Arial" w:hAnsi="Arial" w:cs="Arial"/>
        </w:rPr>
        <w:t>Gelb</w:t>
      </w:r>
      <w:proofErr w:type="spellEnd"/>
      <w:r w:rsidRPr="00A95091">
        <w:rPr>
          <w:rFonts w:ascii="Arial" w:hAnsi="Arial" w:cs="Arial"/>
        </w:rPr>
        <w:t xml:space="preserve"> Alan. </w:t>
      </w:r>
      <w:r w:rsidRPr="00A95091">
        <w:rPr>
          <w:rFonts w:ascii="Arial" w:hAnsi="Arial" w:cs="Arial"/>
          <w:lang w:val="en-US"/>
        </w:rPr>
        <w:t>“</w:t>
      </w:r>
      <w:r w:rsidRPr="00A95091">
        <w:rPr>
          <w:rStyle w:val="italicas"/>
          <w:rFonts w:ascii="Arial" w:hAnsi="Arial" w:cs="Arial"/>
          <w:lang w:val="en-US"/>
        </w:rPr>
        <w:t xml:space="preserve">Patterns of transition from plan to </w:t>
      </w:r>
      <w:proofErr w:type="gramStart"/>
      <w:r w:rsidRPr="00A95091">
        <w:rPr>
          <w:rStyle w:val="italicas"/>
          <w:rFonts w:ascii="Arial" w:hAnsi="Arial" w:cs="Arial"/>
          <w:lang w:val="en-US"/>
        </w:rPr>
        <w:t>market</w:t>
      </w:r>
      <w:r w:rsidRPr="00A95091">
        <w:rPr>
          <w:rFonts w:ascii="Arial" w:hAnsi="Arial" w:cs="Arial"/>
          <w:lang w:val="en-US"/>
        </w:rPr>
        <w:t xml:space="preserve"> ”</w:t>
      </w:r>
      <w:proofErr w:type="gramEnd"/>
      <w:r w:rsidRPr="00A95091">
        <w:rPr>
          <w:rFonts w:ascii="Arial" w:hAnsi="Arial" w:cs="Arial"/>
          <w:lang w:val="en-US"/>
        </w:rPr>
        <w:t xml:space="preserve">, The World Bank Economic Review, vol. 10, No. 3, </w:t>
      </w:r>
      <w:proofErr w:type="spellStart"/>
      <w:r w:rsidRPr="00A95091">
        <w:rPr>
          <w:rFonts w:ascii="Arial" w:hAnsi="Arial" w:cs="Arial"/>
          <w:lang w:val="en-US"/>
        </w:rPr>
        <w:t>septiembre</w:t>
      </w:r>
      <w:proofErr w:type="spellEnd"/>
      <w:r w:rsidRPr="00A95091">
        <w:rPr>
          <w:rFonts w:ascii="Arial" w:hAnsi="Arial" w:cs="Arial"/>
          <w:lang w:val="en-US"/>
        </w:rPr>
        <w:t xml:space="preserve"> de 1996, p. 397.</w:t>
      </w:r>
    </w:p>
    <w:p w:rsidR="00667296" w:rsidRPr="00A95091" w:rsidRDefault="00667296" w:rsidP="00667296">
      <w:pPr>
        <w:pStyle w:val="firmas"/>
        <w:rPr>
          <w:rFonts w:ascii="Arial" w:hAnsi="Arial" w:cs="Arial"/>
          <w:lang w:val="en-US"/>
        </w:rPr>
      </w:pPr>
      <w:r w:rsidRPr="00A95091">
        <w:rPr>
          <w:rFonts w:ascii="Arial" w:hAnsi="Arial" w:cs="Arial"/>
          <w:lang w:val="en-US"/>
        </w:rPr>
        <w:t xml:space="preserve">11 </w:t>
      </w:r>
      <w:proofErr w:type="gramStart"/>
      <w:r w:rsidRPr="00A95091">
        <w:rPr>
          <w:rFonts w:ascii="Arial" w:hAnsi="Arial" w:cs="Arial"/>
          <w:lang w:val="en-US"/>
        </w:rPr>
        <w:t>Glossary</w:t>
      </w:r>
      <w:proofErr w:type="gramEnd"/>
      <w:r w:rsidRPr="00A95091">
        <w:rPr>
          <w:rFonts w:ascii="Arial" w:hAnsi="Arial" w:cs="Arial"/>
          <w:lang w:val="en-US"/>
        </w:rPr>
        <w:t xml:space="preserve"> in Industrial Organization Economics and Competition Law, Organization for </w:t>
      </w:r>
      <w:proofErr w:type="spellStart"/>
      <w:r w:rsidRPr="00A95091">
        <w:rPr>
          <w:rFonts w:ascii="Arial" w:hAnsi="Arial" w:cs="Arial"/>
          <w:lang w:val="en-US"/>
        </w:rPr>
        <w:t>Ecoomic</w:t>
      </w:r>
      <w:proofErr w:type="spellEnd"/>
      <w:r w:rsidRPr="00A95091">
        <w:rPr>
          <w:rFonts w:ascii="Arial" w:hAnsi="Arial" w:cs="Arial"/>
          <w:lang w:val="en-US"/>
        </w:rPr>
        <w:t xml:space="preserve"> Co-operation and Development.</w:t>
      </w:r>
    </w:p>
    <w:p w:rsidR="00667296" w:rsidRPr="00A95091" w:rsidRDefault="00667296" w:rsidP="00667296">
      <w:pPr>
        <w:pStyle w:val="derecha"/>
        <w:rPr>
          <w:rFonts w:ascii="Arial" w:hAnsi="Arial" w:cs="Arial"/>
          <w:sz w:val="22"/>
          <w:szCs w:val="22"/>
        </w:rPr>
      </w:pPr>
      <w:r w:rsidRPr="00A95091">
        <w:rPr>
          <w:rFonts w:ascii="Arial" w:hAnsi="Arial" w:cs="Arial"/>
          <w:sz w:val="22"/>
          <w:szCs w:val="22"/>
        </w:rPr>
        <w:t>Dado en el Palacio Legislativo de San Lázaro, a los 8 días del mes de diciembre de 2010.</w:t>
      </w:r>
    </w:p>
    <w:p w:rsidR="00667296" w:rsidRPr="00A95091" w:rsidRDefault="00667296" w:rsidP="00667296">
      <w:pPr>
        <w:pStyle w:val="firmas"/>
        <w:rPr>
          <w:rFonts w:ascii="Arial" w:hAnsi="Arial" w:cs="Arial"/>
        </w:rPr>
      </w:pPr>
      <w:r w:rsidRPr="00A95091">
        <w:rPr>
          <w:rStyle w:val="negritas"/>
          <w:rFonts w:ascii="Arial" w:hAnsi="Arial" w:cs="Arial"/>
        </w:rPr>
        <w:t>La Comisión de Economía</w:t>
      </w:r>
      <w:r w:rsidRPr="00A95091">
        <w:rPr>
          <w:rFonts w:ascii="Arial" w:hAnsi="Arial" w:cs="Arial"/>
        </w:rPr>
        <w:t xml:space="preserve"> </w:t>
      </w:r>
    </w:p>
    <w:p w:rsidR="00667296" w:rsidRPr="00A95091" w:rsidRDefault="00667296" w:rsidP="00667296">
      <w:pPr>
        <w:pStyle w:val="firmas"/>
        <w:rPr>
          <w:rFonts w:ascii="Arial" w:hAnsi="Arial" w:cs="Arial"/>
        </w:rPr>
      </w:pPr>
      <w:r w:rsidRPr="00A95091">
        <w:rPr>
          <w:rStyle w:val="negritas"/>
          <w:rFonts w:ascii="Arial" w:hAnsi="Arial" w:cs="Arial"/>
        </w:rPr>
        <w:t>Diputados:</w:t>
      </w:r>
      <w:r w:rsidRPr="00A95091">
        <w:rPr>
          <w:rFonts w:ascii="Arial" w:hAnsi="Arial" w:cs="Arial"/>
        </w:rPr>
        <w:t xml:space="preserve"> Ildefonso Guajardo Villarreal (rúbrica), presidente; Alejandro Cano </w:t>
      </w:r>
      <w:proofErr w:type="spellStart"/>
      <w:r w:rsidRPr="00A95091">
        <w:rPr>
          <w:rFonts w:ascii="Arial" w:hAnsi="Arial" w:cs="Arial"/>
        </w:rPr>
        <w:t>Ricaud</w:t>
      </w:r>
      <w:proofErr w:type="spellEnd"/>
      <w:r w:rsidRPr="00A95091">
        <w:rPr>
          <w:rFonts w:ascii="Arial" w:hAnsi="Arial" w:cs="Arial"/>
        </w:rPr>
        <w:t xml:space="preserve"> (rúbrica), Jorge Alberto </w:t>
      </w:r>
      <w:proofErr w:type="spellStart"/>
      <w:r w:rsidRPr="00A95091">
        <w:rPr>
          <w:rFonts w:ascii="Arial" w:hAnsi="Arial" w:cs="Arial"/>
        </w:rPr>
        <w:t>Juraidini</w:t>
      </w:r>
      <w:proofErr w:type="spellEnd"/>
      <w:r w:rsidRPr="00A95091">
        <w:rPr>
          <w:rFonts w:ascii="Arial" w:hAnsi="Arial" w:cs="Arial"/>
        </w:rPr>
        <w:t xml:space="preserve"> </w:t>
      </w:r>
      <w:proofErr w:type="spellStart"/>
      <w:r w:rsidRPr="00A95091">
        <w:rPr>
          <w:rFonts w:ascii="Arial" w:hAnsi="Arial" w:cs="Arial"/>
        </w:rPr>
        <w:t>Rumilla</w:t>
      </w:r>
      <w:proofErr w:type="spellEnd"/>
      <w:r w:rsidRPr="00A95091">
        <w:rPr>
          <w:rFonts w:ascii="Arial" w:hAnsi="Arial" w:cs="Arial"/>
        </w:rPr>
        <w:t xml:space="preserve"> (rúbrica), </w:t>
      </w:r>
      <w:proofErr w:type="spellStart"/>
      <w:r w:rsidRPr="00A95091">
        <w:rPr>
          <w:rFonts w:ascii="Arial" w:hAnsi="Arial" w:cs="Arial"/>
        </w:rPr>
        <w:t>Narcedalia</w:t>
      </w:r>
      <w:proofErr w:type="spellEnd"/>
      <w:r w:rsidRPr="00A95091">
        <w:rPr>
          <w:rFonts w:ascii="Arial" w:hAnsi="Arial" w:cs="Arial"/>
        </w:rPr>
        <w:t xml:space="preserve"> Ramírez Pineda, Melchor Sánchez de la Fuente, José Luis Velasco Lino (rúbrica), Leoncio Alfonso Morán Sánchez (rúbrica), María Antonieta Pérez Reyes (rúbrica), Norma Sánchez Romero (rúbrica), Indira Vizcaíno Silva (rúbrica en abstención), Rodrigo Pérez-Alonso González (rúbrica), Jorge Antonio </w:t>
      </w:r>
      <w:proofErr w:type="spellStart"/>
      <w:r w:rsidRPr="00A95091">
        <w:rPr>
          <w:rFonts w:ascii="Arial" w:hAnsi="Arial" w:cs="Arial"/>
        </w:rPr>
        <w:t>Kahwagi</w:t>
      </w:r>
      <w:proofErr w:type="spellEnd"/>
      <w:r w:rsidRPr="00A95091">
        <w:rPr>
          <w:rFonts w:ascii="Arial" w:hAnsi="Arial" w:cs="Arial"/>
        </w:rPr>
        <w:t xml:space="preserve"> </w:t>
      </w:r>
      <w:proofErr w:type="spellStart"/>
      <w:r w:rsidRPr="00A95091">
        <w:rPr>
          <w:rFonts w:ascii="Arial" w:hAnsi="Arial" w:cs="Arial"/>
        </w:rPr>
        <w:t>Macari</w:t>
      </w:r>
      <w:proofErr w:type="spellEnd"/>
      <w:r w:rsidRPr="00A95091">
        <w:rPr>
          <w:rFonts w:ascii="Arial" w:hAnsi="Arial" w:cs="Arial"/>
        </w:rPr>
        <w:t xml:space="preserve">, secretarios; José Antonio </w:t>
      </w:r>
      <w:proofErr w:type="spellStart"/>
      <w:r w:rsidRPr="00A95091">
        <w:rPr>
          <w:rFonts w:ascii="Arial" w:hAnsi="Arial" w:cs="Arial"/>
        </w:rPr>
        <w:t>Arámbula</w:t>
      </w:r>
      <w:proofErr w:type="spellEnd"/>
      <w:r w:rsidRPr="00A95091">
        <w:rPr>
          <w:rFonts w:ascii="Arial" w:hAnsi="Arial" w:cs="Arial"/>
        </w:rPr>
        <w:t xml:space="preserve"> López (rúbrica), Raúl Gerardo Cuadra García (rúbrica), Sergio Gama </w:t>
      </w:r>
      <w:proofErr w:type="spellStart"/>
      <w:r w:rsidRPr="00A95091">
        <w:rPr>
          <w:rFonts w:ascii="Arial" w:hAnsi="Arial" w:cs="Arial"/>
        </w:rPr>
        <w:t>Dufour</w:t>
      </w:r>
      <w:proofErr w:type="spellEnd"/>
      <w:r w:rsidRPr="00A95091">
        <w:rPr>
          <w:rFonts w:ascii="Arial" w:hAnsi="Arial" w:cs="Arial"/>
        </w:rPr>
        <w:t xml:space="preserve"> (rúbrica), Noé Fernando Garza Flores, Jorge Hernández </w:t>
      </w:r>
      <w:proofErr w:type="spellStart"/>
      <w:r w:rsidRPr="00A95091">
        <w:rPr>
          <w:rFonts w:ascii="Arial" w:hAnsi="Arial" w:cs="Arial"/>
        </w:rPr>
        <w:t>Hernández</w:t>
      </w:r>
      <w:proofErr w:type="spellEnd"/>
      <w:r w:rsidRPr="00A95091">
        <w:rPr>
          <w:rFonts w:ascii="Arial" w:hAnsi="Arial" w:cs="Arial"/>
        </w:rPr>
        <w:t xml:space="preserve"> (rúbrica), Susana Hurtado Vallejo, Ramón Jiménez López, Jorge Humberto López-Portillo </w:t>
      </w:r>
      <w:proofErr w:type="spellStart"/>
      <w:r w:rsidRPr="00A95091">
        <w:rPr>
          <w:rFonts w:ascii="Arial" w:hAnsi="Arial" w:cs="Arial"/>
        </w:rPr>
        <w:t>Basave</w:t>
      </w:r>
      <w:proofErr w:type="spellEnd"/>
      <w:r w:rsidRPr="00A95091">
        <w:rPr>
          <w:rFonts w:ascii="Arial" w:hAnsi="Arial" w:cs="Arial"/>
        </w:rPr>
        <w:t xml:space="preserve"> (rúbrica), Ifigenia Martha Martínez y Hernández (rúbrica en contra), Luis Enrique Mercado Sánchez (rúbrica), David </w:t>
      </w:r>
      <w:proofErr w:type="spellStart"/>
      <w:r w:rsidRPr="00A95091">
        <w:rPr>
          <w:rFonts w:ascii="Arial" w:hAnsi="Arial" w:cs="Arial"/>
        </w:rPr>
        <w:t>Penchyna</w:t>
      </w:r>
      <w:proofErr w:type="spellEnd"/>
      <w:r w:rsidRPr="00A95091">
        <w:rPr>
          <w:rFonts w:ascii="Arial" w:hAnsi="Arial" w:cs="Arial"/>
        </w:rPr>
        <w:t xml:space="preserve"> </w:t>
      </w:r>
      <w:proofErr w:type="spellStart"/>
      <w:r w:rsidRPr="00A95091">
        <w:rPr>
          <w:rFonts w:ascii="Arial" w:hAnsi="Arial" w:cs="Arial"/>
        </w:rPr>
        <w:t>Grub</w:t>
      </w:r>
      <w:proofErr w:type="spellEnd"/>
      <w:r w:rsidRPr="00A95091">
        <w:rPr>
          <w:rFonts w:ascii="Arial" w:hAnsi="Arial" w:cs="Arial"/>
        </w:rPr>
        <w:t xml:space="preserve"> (rúbrica), Enrique Salomón Rosas Ramírez, David Ricardo Sánchez Guevara, Carlos Torres Piña (rúbrica en abstención).</w:t>
      </w:r>
    </w:p>
    <w:bookmarkEnd w:id="0"/>
    <w:p w:rsidR="00667296" w:rsidRPr="00A95091" w:rsidRDefault="00667296" w:rsidP="00667296">
      <w:pPr>
        <w:pStyle w:val="nobrinco"/>
        <w:rPr>
          <w:rFonts w:ascii="Arial" w:hAnsi="Arial" w:cs="Arial"/>
          <w:sz w:val="22"/>
          <w:szCs w:val="22"/>
        </w:rPr>
      </w:pPr>
      <w:r w:rsidRPr="00A95091">
        <w:rPr>
          <w:rStyle w:val="negritas"/>
          <w:rFonts w:ascii="Arial" w:hAnsi="Arial" w:cs="Arial"/>
          <w:sz w:val="22"/>
          <w:szCs w:val="22"/>
        </w:rPr>
        <w:t>Diputado Idelfonso Guajardo Villareal</w:t>
      </w:r>
      <w:r w:rsidRPr="00A95091">
        <w:rPr>
          <w:rFonts w:ascii="Arial" w:hAnsi="Arial" w:cs="Arial"/>
          <w:sz w:val="22"/>
          <w:szCs w:val="22"/>
        </w:rPr>
        <w:t xml:space="preserve"> </w:t>
      </w:r>
    </w:p>
    <w:p w:rsidR="00667296" w:rsidRPr="00A95091" w:rsidRDefault="00667296" w:rsidP="00667296">
      <w:pPr>
        <w:pStyle w:val="nobrinco"/>
        <w:rPr>
          <w:rFonts w:ascii="Arial" w:hAnsi="Arial" w:cs="Arial"/>
          <w:sz w:val="22"/>
          <w:szCs w:val="22"/>
        </w:rPr>
      </w:pPr>
      <w:r w:rsidRPr="00A95091">
        <w:rPr>
          <w:rStyle w:val="negritas"/>
          <w:rFonts w:ascii="Arial" w:hAnsi="Arial" w:cs="Arial"/>
          <w:sz w:val="22"/>
          <w:szCs w:val="22"/>
        </w:rPr>
        <w:t>Presidente de la Comisión de Economía</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Presente</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Por instrucciones del diputado Luis </w:t>
      </w:r>
      <w:proofErr w:type="spellStart"/>
      <w:r w:rsidRPr="00A95091">
        <w:rPr>
          <w:rFonts w:ascii="Arial" w:hAnsi="Arial" w:cs="Arial"/>
          <w:sz w:val="22"/>
          <w:szCs w:val="22"/>
        </w:rPr>
        <w:t>Videgaray</w:t>
      </w:r>
      <w:proofErr w:type="spellEnd"/>
      <w:r w:rsidRPr="00A95091">
        <w:rPr>
          <w:rFonts w:ascii="Arial" w:hAnsi="Arial" w:cs="Arial"/>
          <w:sz w:val="22"/>
          <w:szCs w:val="22"/>
        </w:rPr>
        <w:t xml:space="preserve"> Caso, presidente de la Comisión de Presupuesto y Cuenta Pública, y con fundamento en el artículo 18, párrafo tercero, de la Ley Federal de Presupuesto y Responsabilidad Hacendaria, le envío anexo al presente, la “Opinión de impacto presupuestario que emite la Comisión de Presupuesto y Cuenta Pública con fundamento en la valoración del impacto presupuestario que elabora el Centro de Estudios de las Finanzas Públicas, en relación a la iniciativa que expide la Ley de Precios Competitivos, presentada por el diputado Mario Alberto di </w:t>
      </w:r>
      <w:proofErr w:type="spellStart"/>
      <w:r w:rsidRPr="00A95091">
        <w:rPr>
          <w:rFonts w:ascii="Arial" w:hAnsi="Arial" w:cs="Arial"/>
          <w:sz w:val="22"/>
          <w:szCs w:val="22"/>
        </w:rPr>
        <w:t>Costanzo</w:t>
      </w:r>
      <w:proofErr w:type="spellEnd"/>
      <w:r w:rsidRPr="00A95091">
        <w:rPr>
          <w:rFonts w:ascii="Arial" w:hAnsi="Arial" w:cs="Arial"/>
          <w:sz w:val="22"/>
          <w:szCs w:val="22"/>
        </w:rPr>
        <w:t xml:space="preserve"> Armenta.”</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cual fue dictaminada en sentido positivo en la séptima reunión ordinaria de la Comisión de Presupuesto y Cuenta Pública, de fecha 20 de abril de 2010.</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lastRenderedPageBreak/>
        <w:t>Lo anterior para los fines legislativos a que haya lugar.</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Sin otro particular, aprovecho la ocasión para saludarle cordialmente.</w:t>
      </w:r>
    </w:p>
    <w:p w:rsidR="00667296" w:rsidRPr="00A95091" w:rsidRDefault="00667296" w:rsidP="00667296">
      <w:pPr>
        <w:pStyle w:val="atentamente"/>
        <w:rPr>
          <w:rFonts w:ascii="Arial" w:hAnsi="Arial" w:cs="Arial"/>
        </w:rPr>
      </w:pPr>
      <w:r w:rsidRPr="00A95091">
        <w:rPr>
          <w:rFonts w:ascii="Arial" w:hAnsi="Arial" w:cs="Arial"/>
        </w:rPr>
        <w:t>Atentamente</w:t>
      </w:r>
    </w:p>
    <w:p w:rsidR="00667296" w:rsidRPr="00A95091" w:rsidRDefault="00667296" w:rsidP="00667296">
      <w:pPr>
        <w:pStyle w:val="atentamente"/>
        <w:rPr>
          <w:rFonts w:ascii="Arial" w:hAnsi="Arial" w:cs="Arial"/>
        </w:rPr>
      </w:pPr>
      <w:r w:rsidRPr="00A95091">
        <w:rPr>
          <w:rFonts w:ascii="Arial" w:hAnsi="Arial" w:cs="Arial"/>
        </w:rPr>
        <w:t>Lic. Fernando Galindo Favela (rúbrica)</w:t>
      </w:r>
    </w:p>
    <w:p w:rsidR="00667296" w:rsidRPr="00A95091" w:rsidRDefault="00667296" w:rsidP="00667296">
      <w:pPr>
        <w:pStyle w:val="atentamente"/>
        <w:rPr>
          <w:rFonts w:ascii="Arial" w:hAnsi="Arial" w:cs="Arial"/>
        </w:rPr>
      </w:pPr>
      <w:r w:rsidRPr="00A95091">
        <w:rPr>
          <w:rFonts w:ascii="Arial" w:hAnsi="Arial" w:cs="Arial"/>
        </w:rPr>
        <w:t>Secretario Técnico</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 xml:space="preserve">Opinión de impacto presupuestario que emite la Comisión de Presupuesto y Cuenta Pública, con fundamento en la valoración del impacto presupuestario que elabora el Centro de Estudios de las Finanzas Públicas, en relación a la iniciativa que expide la Ley de Precios Competitivos, presentada por el diputado Mario Alberto di </w:t>
      </w:r>
      <w:proofErr w:type="spellStart"/>
      <w:r w:rsidRPr="00A95091">
        <w:rPr>
          <w:rStyle w:val="negritas"/>
          <w:rFonts w:ascii="Arial" w:hAnsi="Arial" w:cs="Arial"/>
          <w:sz w:val="22"/>
          <w:szCs w:val="22"/>
        </w:rPr>
        <w:t>Costanzo</w:t>
      </w:r>
      <w:proofErr w:type="spellEnd"/>
      <w:r w:rsidRPr="00A95091">
        <w:rPr>
          <w:rStyle w:val="negritas"/>
          <w:rFonts w:ascii="Arial" w:hAnsi="Arial" w:cs="Arial"/>
          <w:sz w:val="22"/>
          <w:szCs w:val="22"/>
        </w:rPr>
        <w:t xml:space="preserve"> Armenta.</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Honorable Asamblea:</w:t>
      </w:r>
      <w:r w:rsidRPr="00A95091">
        <w:rPr>
          <w:rFonts w:ascii="Arial" w:hAnsi="Arial" w:cs="Arial"/>
          <w:sz w:val="22"/>
          <w:szCs w:val="22"/>
        </w:rPr>
        <w:t xml:space="preserve"> </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A esta Comisión de Presupuesto y Cuenta Pública, correspondiente a la LXI Legislatura de la H. Cámara de Diputados, le fue turnada para su opinión la iniciativa que expide la Ley de Precios Competitivos, suscrita por el diputado Mario Alberto di </w:t>
      </w:r>
      <w:proofErr w:type="spellStart"/>
      <w:r w:rsidRPr="00A95091">
        <w:rPr>
          <w:rFonts w:ascii="Arial" w:hAnsi="Arial" w:cs="Arial"/>
          <w:sz w:val="22"/>
          <w:szCs w:val="22"/>
        </w:rPr>
        <w:t>Costanzo</w:t>
      </w:r>
      <w:proofErr w:type="spellEnd"/>
      <w:r w:rsidRPr="00A95091">
        <w:rPr>
          <w:rFonts w:ascii="Arial" w:hAnsi="Arial" w:cs="Arial"/>
          <w:sz w:val="22"/>
          <w:szCs w:val="22"/>
        </w:rPr>
        <w:t xml:space="preserve"> Armenta del Grupo Parlamentario del Partido del Trabajo.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Esta comisión, con fundamento en los artículos 39, numerales 1 y 2, fracción XXVIII; 45, numeral 6, incisos e) y f) y 49, numeral 3, de la Ley Orgánica del Congreso General de los Estados Unidos Mexicanos; así como con base en los artículos 18, párrafo tercero, de la Ley Federal de Presupuesto y Responsabilidad Hacendaria; y 10 y 42 del Acuerdo de la Conferencia para la Dirección y Programación de los Trabajos Legislativos, por el que se establecen las normas relativas al funcionamiento de las Comisiones y Comités de la Cámara de Diputados, se abocó al estudio y análisis de la iniciativa anteriormente descrita al tenor de los siguientes:</w:t>
      </w:r>
    </w:p>
    <w:p w:rsidR="00667296" w:rsidRPr="00A95091" w:rsidRDefault="00667296" w:rsidP="00667296">
      <w:pPr>
        <w:pStyle w:val="centrar"/>
        <w:rPr>
          <w:rFonts w:ascii="Arial" w:hAnsi="Arial" w:cs="Arial"/>
          <w:sz w:val="22"/>
          <w:szCs w:val="22"/>
        </w:rPr>
      </w:pPr>
      <w:r w:rsidRPr="00A95091">
        <w:rPr>
          <w:rFonts w:ascii="Arial" w:hAnsi="Arial" w:cs="Arial"/>
          <w:sz w:val="22"/>
          <w:szCs w:val="22"/>
        </w:rPr>
        <w:t>Antecedentes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 xml:space="preserve">I. Con fecha 4 de febrero de 2010, el diputado Mario Alberto di </w:t>
      </w:r>
      <w:proofErr w:type="spellStart"/>
      <w:r w:rsidRPr="00A95091">
        <w:rPr>
          <w:rFonts w:ascii="Arial" w:hAnsi="Arial" w:cs="Arial"/>
          <w:sz w:val="22"/>
          <w:szCs w:val="22"/>
        </w:rPr>
        <w:t>Costanzo</w:t>
      </w:r>
      <w:proofErr w:type="spellEnd"/>
      <w:r w:rsidRPr="00A95091">
        <w:rPr>
          <w:rFonts w:ascii="Arial" w:hAnsi="Arial" w:cs="Arial"/>
          <w:sz w:val="22"/>
          <w:szCs w:val="22"/>
        </w:rPr>
        <w:t xml:space="preserve"> Armenta, del Grupo Parlamentario del Partido del Trabajo, integrante de la LXI Legislatura, presentó la iniciativa que expide la Ley de Precios Competitivos.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II. En esa misma fecha, el Presidente de la Mesa Directiva de la Cámara de Diputados turnó la iniciativa a la Comisión de Economía, con opinión de la Comisión de Presupuesto y Cuenta Pública, para efectos de su estudio y dictamen correspondientes.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III. Con base en el tercer párrafo del artículo 18 de la Ley Federal de Presupuesto y Responsabilidad Hacendaria y en el numeral 3 del artículo 49 de la Ley Orgánica del Congreso General de los Estados Unidos Mexicanos, se solicitó al Centro de Estudios de las Finanzas Públicas, mediante oficio de fecha 5 de febrero de 2010, la valoración del impacto presupuestario.</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IV. Esta comisión recibió el 19 de febrero de 2010, por parte del Centro de Estudios de las Finanzas Públicas, la mencionada valoración de impacto presupuestario de la iniciativa en comento, la cual sirve de fundamento para la presente opinión.</w:t>
      </w:r>
    </w:p>
    <w:p w:rsidR="00667296" w:rsidRPr="00A95091" w:rsidRDefault="00667296" w:rsidP="00667296">
      <w:pPr>
        <w:pStyle w:val="centrar"/>
        <w:rPr>
          <w:rFonts w:ascii="Arial" w:hAnsi="Arial" w:cs="Arial"/>
          <w:sz w:val="22"/>
          <w:szCs w:val="22"/>
        </w:rPr>
      </w:pPr>
      <w:r w:rsidRPr="00A95091">
        <w:rPr>
          <w:rFonts w:ascii="Arial" w:hAnsi="Arial" w:cs="Arial"/>
          <w:sz w:val="22"/>
          <w:szCs w:val="22"/>
        </w:rPr>
        <w:lastRenderedPageBreak/>
        <w:t xml:space="preserve">Objetivo de la iniciativa </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El objetivo de la iniciativa materia de la presente opinión consiste en establecer mecanismos que mantengan un sano equilibrio en la determinación de precios en los mercados de bienes y servicios, con la finalidad de hacerlos más competitivos; también busca impedir la imposición de precios monopólicos por parte de las empresas que tengan un poder de mercado substancial. En términos generales, la iniciativa pretende ser reglamentaria del artículo 28 constitucional.</w:t>
      </w:r>
    </w:p>
    <w:p w:rsidR="00667296" w:rsidRPr="00A95091" w:rsidRDefault="00667296" w:rsidP="00667296">
      <w:pPr>
        <w:pStyle w:val="centrar"/>
        <w:rPr>
          <w:rFonts w:ascii="Arial" w:hAnsi="Arial" w:cs="Arial"/>
          <w:sz w:val="22"/>
          <w:szCs w:val="22"/>
        </w:rPr>
      </w:pPr>
      <w:r w:rsidRPr="00A95091">
        <w:rPr>
          <w:rFonts w:ascii="Arial" w:hAnsi="Arial" w:cs="Arial"/>
          <w:sz w:val="22"/>
          <w:szCs w:val="22"/>
        </w:rPr>
        <w:t>Consideraciones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La iniciativa materia de la presente opinión establece que las medidas correctivas y las sanciones que estipula la propia iniciativa, deberán operar en un ámbito distinto e independiente al de la Ley Federal de Competencia y de la Comisión Federal de Competencia.</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Asimismo, establece la creación de la Comisión Federal de Precios Competitivos, por lo que, esta Comisión de Presupuesto y Cuenta Pública, con fundamento en la valoración de impacto presupuestario realizado por el Centro de Estudios de las Finanzas Pública y del análisis realizado a la iniciativa, observa que la misma sí implica un impacto presupuestario estimado en 155.4 millones de pesos.</w:t>
      </w:r>
    </w:p>
    <w:p w:rsidR="00667296" w:rsidRPr="00A95091" w:rsidRDefault="00667296" w:rsidP="00667296">
      <w:pPr>
        <w:pStyle w:val="NormalWeb"/>
        <w:rPr>
          <w:rFonts w:ascii="Arial" w:hAnsi="Arial" w:cs="Arial"/>
          <w:sz w:val="22"/>
          <w:szCs w:val="22"/>
        </w:rPr>
      </w:pPr>
      <w:r w:rsidRPr="00A95091">
        <w:rPr>
          <w:rFonts w:ascii="Arial" w:hAnsi="Arial" w:cs="Arial"/>
          <w:sz w:val="22"/>
          <w:szCs w:val="22"/>
        </w:rPr>
        <w:t>Por todo lo anterior, es de emitirse la siguiente:</w:t>
      </w:r>
    </w:p>
    <w:p w:rsidR="00667296" w:rsidRPr="00A95091" w:rsidRDefault="00667296" w:rsidP="00667296">
      <w:pPr>
        <w:pStyle w:val="centrar"/>
        <w:rPr>
          <w:rFonts w:ascii="Arial" w:hAnsi="Arial" w:cs="Arial"/>
          <w:sz w:val="22"/>
          <w:szCs w:val="22"/>
        </w:rPr>
      </w:pPr>
      <w:r w:rsidRPr="00A95091">
        <w:rPr>
          <w:rFonts w:ascii="Arial" w:hAnsi="Arial" w:cs="Arial"/>
          <w:sz w:val="22"/>
          <w:szCs w:val="22"/>
        </w:rPr>
        <w:t>Opinión</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Primero.</w:t>
      </w:r>
      <w:r w:rsidRPr="00A95091">
        <w:rPr>
          <w:rFonts w:ascii="Arial" w:hAnsi="Arial" w:cs="Arial"/>
          <w:sz w:val="22"/>
          <w:szCs w:val="22"/>
        </w:rPr>
        <w:t xml:space="preserve"> La Comisión de Presupuesto y Cuenta Pública, con fundamento en los artículos 39, numeral 1 y 45, numeral 6, incisos e), f) y g) de la Ley Orgánica del Congreso General de los Estados Unidos Mexicanos; y el artículo 18, párrafo tercero, de la Ley Federal de Presupuesto y Responsabilidad Hacendaria y con base en la valoración realizada por el Centro de Estudios de las Finanzas Públicas, opina que la iniciativa al rubro citada, implica un impacto presupuestario de 155.4 millones de pesos destinados a la Comisión Federal de Precios Competitivos a la que hace referencia la propia iniciativa.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Segundo.</w:t>
      </w:r>
      <w:r w:rsidRPr="00A95091">
        <w:rPr>
          <w:rFonts w:ascii="Arial" w:hAnsi="Arial" w:cs="Arial"/>
          <w:sz w:val="22"/>
          <w:szCs w:val="22"/>
        </w:rPr>
        <w:t xml:space="preserve"> La presente opinión se formula, solamente en la materia de la competencia de esta comisión, tomando como base la valoración del impacto presupuestario que elaboró el Centro de Estudios de las Finanzas Públicas, por lo que el sentido del dictamen que se dicte respecto de la iniciativa que reforma los artículos 40, 41 y 73 de la Constitución Política de los Estados Unidos Mexicanos, y expide la Ley de Revocación de Mandato, es de la exclusiva competencia de la Comisión de Economía.</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Tercero.</w:t>
      </w:r>
      <w:r w:rsidRPr="00A95091">
        <w:rPr>
          <w:rFonts w:ascii="Arial" w:hAnsi="Arial" w:cs="Arial"/>
          <w:sz w:val="22"/>
          <w:szCs w:val="22"/>
        </w:rPr>
        <w:t xml:space="preserve"> Remítase la presente opinión a la Comisión de Economía para los efectos legales a que haya lugar.</w:t>
      </w:r>
    </w:p>
    <w:p w:rsidR="00667296" w:rsidRPr="00A95091" w:rsidRDefault="00667296" w:rsidP="00667296">
      <w:pPr>
        <w:pStyle w:val="NormalWeb"/>
        <w:rPr>
          <w:rFonts w:ascii="Arial" w:hAnsi="Arial" w:cs="Arial"/>
          <w:sz w:val="22"/>
          <w:szCs w:val="22"/>
        </w:rPr>
      </w:pPr>
      <w:r w:rsidRPr="00A95091">
        <w:rPr>
          <w:rStyle w:val="negritas"/>
          <w:rFonts w:ascii="Arial" w:hAnsi="Arial" w:cs="Arial"/>
          <w:sz w:val="22"/>
          <w:szCs w:val="22"/>
        </w:rPr>
        <w:t>Cuarto.</w:t>
      </w:r>
      <w:r w:rsidRPr="00A95091">
        <w:rPr>
          <w:rFonts w:ascii="Arial" w:hAnsi="Arial" w:cs="Arial"/>
          <w:sz w:val="22"/>
          <w:szCs w:val="22"/>
        </w:rPr>
        <w:t xml:space="preserve"> Por oficio, comuníquese la presente opinión a la Mesa Directiva de esta Cámara de Diputados, para su conocimiento.</w:t>
      </w:r>
    </w:p>
    <w:p w:rsidR="00667296" w:rsidRPr="00A95091" w:rsidRDefault="00667296" w:rsidP="00667296">
      <w:pPr>
        <w:pStyle w:val="derecha"/>
        <w:rPr>
          <w:rFonts w:ascii="Arial" w:hAnsi="Arial" w:cs="Arial"/>
          <w:sz w:val="22"/>
          <w:szCs w:val="22"/>
        </w:rPr>
      </w:pPr>
      <w:r w:rsidRPr="00A95091">
        <w:rPr>
          <w:rFonts w:ascii="Arial" w:hAnsi="Arial" w:cs="Arial"/>
          <w:sz w:val="22"/>
          <w:szCs w:val="22"/>
        </w:rPr>
        <w:t>Palacio Legislativo de San Lázaro, a 20 de abril de 2010.</w:t>
      </w:r>
    </w:p>
    <w:p w:rsidR="00667296" w:rsidRPr="00A95091" w:rsidRDefault="00667296" w:rsidP="00667296">
      <w:pPr>
        <w:pStyle w:val="firmas"/>
        <w:rPr>
          <w:rFonts w:ascii="Arial" w:hAnsi="Arial" w:cs="Arial"/>
        </w:rPr>
      </w:pPr>
      <w:r w:rsidRPr="00A95091">
        <w:rPr>
          <w:rStyle w:val="negritas"/>
          <w:rFonts w:ascii="Arial" w:hAnsi="Arial" w:cs="Arial"/>
        </w:rPr>
        <w:t>La Comisión de Presupuesto y Cuenta Pública</w:t>
      </w:r>
      <w:r w:rsidRPr="00A95091">
        <w:rPr>
          <w:rFonts w:ascii="Arial" w:hAnsi="Arial" w:cs="Arial"/>
        </w:rPr>
        <w:t xml:space="preserve"> </w:t>
      </w:r>
    </w:p>
    <w:p w:rsidR="00667296" w:rsidRPr="00A95091" w:rsidRDefault="00667296" w:rsidP="00667296">
      <w:pPr>
        <w:pStyle w:val="firmas"/>
        <w:rPr>
          <w:rFonts w:ascii="Arial" w:hAnsi="Arial" w:cs="Arial"/>
        </w:rPr>
      </w:pPr>
      <w:r w:rsidRPr="00A95091">
        <w:rPr>
          <w:rStyle w:val="negritas"/>
          <w:rFonts w:ascii="Arial" w:hAnsi="Arial" w:cs="Arial"/>
        </w:rPr>
        <w:lastRenderedPageBreak/>
        <w:t xml:space="preserve">Diputados: </w:t>
      </w:r>
      <w:r w:rsidRPr="00A95091">
        <w:rPr>
          <w:rFonts w:ascii="Arial" w:hAnsi="Arial" w:cs="Arial"/>
        </w:rPr>
        <w:t xml:space="preserve">Luis </w:t>
      </w:r>
      <w:proofErr w:type="spellStart"/>
      <w:r w:rsidRPr="00A95091">
        <w:rPr>
          <w:rFonts w:ascii="Arial" w:hAnsi="Arial" w:cs="Arial"/>
        </w:rPr>
        <w:t>Videgaray</w:t>
      </w:r>
      <w:proofErr w:type="spellEnd"/>
      <w:r w:rsidRPr="00A95091">
        <w:rPr>
          <w:rFonts w:ascii="Arial" w:hAnsi="Arial" w:cs="Arial"/>
        </w:rPr>
        <w:t xml:space="preserve"> Caso (rúbrica), presidente; Baltazar Manuel Hinojosa Ochoa, Felipe Enríquez Hernández, Jesús Alberto Cano Vélez (rúbrica), Mario Moreno Arcos (rúbrica), Rolando Rodrigo Zapata Bello (rúbrica), Julio Castellanos Ramírez (rúbrica), Alfredo Javier Rodríguez Dávila (rúbrica), Sergio Gutiérrez Villanueva, Vidal </w:t>
      </w:r>
      <w:proofErr w:type="spellStart"/>
      <w:r w:rsidRPr="00A95091">
        <w:rPr>
          <w:rFonts w:ascii="Arial" w:hAnsi="Arial" w:cs="Arial"/>
        </w:rPr>
        <w:t>Llerenas</w:t>
      </w:r>
      <w:proofErr w:type="spellEnd"/>
      <w:r w:rsidRPr="00A95091">
        <w:rPr>
          <w:rFonts w:ascii="Arial" w:hAnsi="Arial" w:cs="Arial"/>
        </w:rPr>
        <w:t xml:space="preserve"> Morales (rúbrica), María del Rosario Brindis Álvarez (rúbrica), Pedro Vázquez González (rúbrica en abstención), Jorge Antonio </w:t>
      </w:r>
      <w:proofErr w:type="spellStart"/>
      <w:r w:rsidRPr="00A95091">
        <w:rPr>
          <w:rFonts w:ascii="Arial" w:hAnsi="Arial" w:cs="Arial"/>
        </w:rPr>
        <w:t>Kahwagi</w:t>
      </w:r>
      <w:proofErr w:type="spellEnd"/>
      <w:r w:rsidRPr="00A95091">
        <w:rPr>
          <w:rFonts w:ascii="Arial" w:hAnsi="Arial" w:cs="Arial"/>
        </w:rPr>
        <w:t xml:space="preserve"> </w:t>
      </w:r>
      <w:proofErr w:type="spellStart"/>
      <w:r w:rsidRPr="00A95091">
        <w:rPr>
          <w:rFonts w:ascii="Arial" w:hAnsi="Arial" w:cs="Arial"/>
        </w:rPr>
        <w:t>Macari</w:t>
      </w:r>
      <w:proofErr w:type="spellEnd"/>
      <w:r w:rsidRPr="00A95091">
        <w:rPr>
          <w:rFonts w:ascii="Arial" w:hAnsi="Arial" w:cs="Arial"/>
        </w:rPr>
        <w:t xml:space="preserve">, Pedro Jiménez León (rúbrica en abstención), secretarios; Cruz López Aguilar (rúbrica), David </w:t>
      </w:r>
      <w:proofErr w:type="spellStart"/>
      <w:r w:rsidRPr="00A95091">
        <w:rPr>
          <w:rFonts w:ascii="Arial" w:hAnsi="Arial" w:cs="Arial"/>
        </w:rPr>
        <w:t>Penchyna</w:t>
      </w:r>
      <w:proofErr w:type="spellEnd"/>
      <w:r w:rsidRPr="00A95091">
        <w:rPr>
          <w:rFonts w:ascii="Arial" w:hAnsi="Arial" w:cs="Arial"/>
        </w:rPr>
        <w:t xml:space="preserve"> </w:t>
      </w:r>
      <w:proofErr w:type="spellStart"/>
      <w:r w:rsidRPr="00A95091">
        <w:rPr>
          <w:rFonts w:ascii="Arial" w:hAnsi="Arial" w:cs="Arial"/>
        </w:rPr>
        <w:t>Grub</w:t>
      </w:r>
      <w:proofErr w:type="spellEnd"/>
      <w:r w:rsidRPr="00A95091">
        <w:rPr>
          <w:rFonts w:ascii="Arial" w:hAnsi="Arial" w:cs="Arial"/>
        </w:rPr>
        <w:t xml:space="preserve">, Fernando Morales Martínez (rúbrica), Héctor Pablo Ramírez Puga Leyva, Silvio Lagos Galindo (rúbrica), Claudia Ruiz Massieu Salinas (rúbrica), Manuel Guillermo Márquez </w:t>
      </w:r>
      <w:proofErr w:type="spellStart"/>
      <w:r w:rsidRPr="00A95091">
        <w:rPr>
          <w:rFonts w:ascii="Arial" w:hAnsi="Arial" w:cs="Arial"/>
        </w:rPr>
        <w:t>Lizalde</w:t>
      </w:r>
      <w:proofErr w:type="spellEnd"/>
      <w:r w:rsidRPr="00A95091">
        <w:rPr>
          <w:rFonts w:ascii="Arial" w:hAnsi="Arial" w:cs="Arial"/>
        </w:rPr>
        <w:t xml:space="preserve"> (rúbrica), María Esther Sherman </w:t>
      </w:r>
      <w:proofErr w:type="spellStart"/>
      <w:r w:rsidRPr="00A95091">
        <w:rPr>
          <w:rFonts w:ascii="Arial" w:hAnsi="Arial" w:cs="Arial"/>
        </w:rPr>
        <w:t>Leaño</w:t>
      </w:r>
      <w:proofErr w:type="spellEnd"/>
      <w:r w:rsidRPr="00A95091">
        <w:rPr>
          <w:rFonts w:ascii="Arial" w:hAnsi="Arial" w:cs="Arial"/>
        </w:rPr>
        <w:t xml:space="preserve"> (rúbrica), Miguel Riquelme Solís (rúbrica), Óscar Guillermo </w:t>
      </w:r>
      <w:proofErr w:type="spellStart"/>
      <w:r w:rsidRPr="00A95091">
        <w:rPr>
          <w:rFonts w:ascii="Arial" w:hAnsi="Arial" w:cs="Arial"/>
        </w:rPr>
        <w:t>Levín</w:t>
      </w:r>
      <w:proofErr w:type="spellEnd"/>
      <w:r w:rsidRPr="00A95091">
        <w:rPr>
          <w:rFonts w:ascii="Arial" w:hAnsi="Arial" w:cs="Arial"/>
        </w:rPr>
        <w:t xml:space="preserve"> Coppel (rúbrica), Óscar Javier Lara </w:t>
      </w:r>
      <w:proofErr w:type="spellStart"/>
      <w:r w:rsidRPr="00A95091">
        <w:rPr>
          <w:rFonts w:ascii="Arial" w:hAnsi="Arial" w:cs="Arial"/>
        </w:rPr>
        <w:t>Aréchiga</w:t>
      </w:r>
      <w:proofErr w:type="spellEnd"/>
      <w:r w:rsidRPr="00A95091">
        <w:rPr>
          <w:rFonts w:ascii="Arial" w:hAnsi="Arial" w:cs="Arial"/>
        </w:rPr>
        <w:t xml:space="preserve">, Roberto Albores </w:t>
      </w:r>
      <w:proofErr w:type="spellStart"/>
      <w:r w:rsidRPr="00A95091">
        <w:rPr>
          <w:rFonts w:ascii="Arial" w:hAnsi="Arial" w:cs="Arial"/>
        </w:rPr>
        <w:t>Gleason</w:t>
      </w:r>
      <w:proofErr w:type="spellEnd"/>
      <w:r w:rsidRPr="00A95091">
        <w:rPr>
          <w:rFonts w:ascii="Arial" w:hAnsi="Arial" w:cs="Arial"/>
        </w:rPr>
        <w:t xml:space="preserve"> (rúbrica), Sebastián Lerdo de Tejada Covarrubias, Agustín Torres Ibarrola (rúbrica), Gabriela Cuevas </w:t>
      </w:r>
      <w:proofErr w:type="spellStart"/>
      <w:r w:rsidRPr="00A95091">
        <w:rPr>
          <w:rFonts w:ascii="Arial" w:hAnsi="Arial" w:cs="Arial"/>
        </w:rPr>
        <w:t>Barron</w:t>
      </w:r>
      <w:proofErr w:type="spellEnd"/>
      <w:r w:rsidRPr="00A95091">
        <w:rPr>
          <w:rFonts w:ascii="Arial" w:hAnsi="Arial" w:cs="Arial"/>
        </w:rPr>
        <w:t xml:space="preserve"> (rúbrica), Enrique Octavio Trejo </w:t>
      </w:r>
      <w:proofErr w:type="spellStart"/>
      <w:r w:rsidRPr="00A95091">
        <w:rPr>
          <w:rFonts w:ascii="Arial" w:hAnsi="Arial" w:cs="Arial"/>
        </w:rPr>
        <w:t>Azuara</w:t>
      </w:r>
      <w:proofErr w:type="spellEnd"/>
      <w:r w:rsidRPr="00A95091">
        <w:rPr>
          <w:rFonts w:ascii="Arial" w:hAnsi="Arial" w:cs="Arial"/>
        </w:rPr>
        <w:t xml:space="preserve"> (rúbrica), Felipe de Jesús Rangel Vargas (rúbrica), Francisco Javier </w:t>
      </w:r>
      <w:proofErr w:type="spellStart"/>
      <w:r w:rsidRPr="00A95091">
        <w:rPr>
          <w:rFonts w:ascii="Arial" w:hAnsi="Arial" w:cs="Arial"/>
        </w:rPr>
        <w:t>Orduño</w:t>
      </w:r>
      <w:proofErr w:type="spellEnd"/>
      <w:r w:rsidRPr="00A95091">
        <w:rPr>
          <w:rFonts w:ascii="Arial" w:hAnsi="Arial" w:cs="Arial"/>
        </w:rPr>
        <w:t xml:space="preserve"> Valdez, J. Guadalupe Vera Hernández (rúbrica), Marcos Pérez Esquer (rúbrica), Mario Alberto Becerra </w:t>
      </w:r>
      <w:proofErr w:type="spellStart"/>
      <w:r w:rsidRPr="00A95091">
        <w:rPr>
          <w:rFonts w:ascii="Arial" w:hAnsi="Arial" w:cs="Arial"/>
        </w:rPr>
        <w:t>Pocoroba</w:t>
      </w:r>
      <w:proofErr w:type="spellEnd"/>
      <w:r w:rsidRPr="00A95091">
        <w:rPr>
          <w:rFonts w:ascii="Arial" w:hAnsi="Arial" w:cs="Arial"/>
        </w:rPr>
        <w:t xml:space="preserve"> (rúbrica), Ovidio </w:t>
      </w:r>
      <w:proofErr w:type="spellStart"/>
      <w:r w:rsidRPr="00A95091">
        <w:rPr>
          <w:rFonts w:ascii="Arial" w:hAnsi="Arial" w:cs="Arial"/>
        </w:rPr>
        <w:t>Cortazar</w:t>
      </w:r>
      <w:proofErr w:type="spellEnd"/>
      <w:r w:rsidRPr="00A95091">
        <w:rPr>
          <w:rFonts w:ascii="Arial" w:hAnsi="Arial" w:cs="Arial"/>
        </w:rPr>
        <w:t xml:space="preserve"> Ramos (rúbrica), Rigoberto Salgado Vázquez (rúbrica), Armando Ríos </w:t>
      </w:r>
      <w:proofErr w:type="spellStart"/>
      <w:r w:rsidRPr="00A95091">
        <w:rPr>
          <w:rFonts w:ascii="Arial" w:hAnsi="Arial" w:cs="Arial"/>
        </w:rPr>
        <w:t>Piter</w:t>
      </w:r>
      <w:proofErr w:type="spellEnd"/>
      <w:r w:rsidRPr="00A95091">
        <w:rPr>
          <w:rFonts w:ascii="Arial" w:hAnsi="Arial" w:cs="Arial"/>
        </w:rPr>
        <w:t xml:space="preserve">, Claudia Anaya Mota (rúbrica), Emiliano Velázquez Esquivel (rúbrica), Marcos Covarrubias Villaseñor (rúbrica), Juan José Guerra </w:t>
      </w:r>
      <w:proofErr w:type="spellStart"/>
      <w:r w:rsidRPr="00A95091">
        <w:rPr>
          <w:rFonts w:ascii="Arial" w:hAnsi="Arial" w:cs="Arial"/>
        </w:rPr>
        <w:t>Abud</w:t>
      </w:r>
      <w:proofErr w:type="spellEnd"/>
      <w:r w:rsidRPr="00A95091">
        <w:rPr>
          <w:rFonts w:ascii="Arial" w:hAnsi="Arial" w:cs="Arial"/>
        </w:rPr>
        <w:t xml:space="preserve"> (rúbrica).</w:t>
      </w:r>
    </w:p>
    <w:bookmarkEnd w:id="1"/>
    <w:p w:rsidR="008068BD" w:rsidRPr="00A95091" w:rsidRDefault="00A95091">
      <w:pPr>
        <w:rPr>
          <w:rFonts w:ascii="Arial" w:hAnsi="Arial" w:cs="Arial"/>
        </w:rPr>
      </w:pPr>
    </w:p>
    <w:sectPr w:rsidR="008068BD" w:rsidRPr="00A950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96"/>
    <w:rsid w:val="00667296"/>
    <w:rsid w:val="00A9509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29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6729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6729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6729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6729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66729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67296"/>
    <w:rPr>
      <w:b/>
      <w:bCs/>
    </w:rPr>
  </w:style>
  <w:style w:type="character" w:customStyle="1" w:styleId="superscript">
    <w:name w:val="superscript"/>
    <w:basedOn w:val="Fuentedeprrafopredeter"/>
    <w:rsid w:val="00667296"/>
    <w:rPr>
      <w:b/>
      <w:bCs/>
      <w:sz w:val="17"/>
      <w:szCs w:val="17"/>
      <w:vertAlign w:val="superscript"/>
    </w:rPr>
  </w:style>
  <w:style w:type="character" w:customStyle="1" w:styleId="italicas">
    <w:name w:val="italicas"/>
    <w:basedOn w:val="Fuentedeprrafopredeter"/>
    <w:rsid w:val="00667296"/>
    <w:rPr>
      <w:i/>
      <w:iCs/>
    </w:rPr>
  </w:style>
  <w:style w:type="paragraph" w:customStyle="1" w:styleId="nobrinco">
    <w:name w:val="nobrinco"/>
    <w:basedOn w:val="Normal"/>
    <w:rsid w:val="00667296"/>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667296"/>
    <w:pPr>
      <w:spacing w:after="0" w:line="240" w:lineRule="auto"/>
      <w:jc w:val="both"/>
    </w:pPr>
    <w:rPr>
      <w:rFonts w:ascii="Times New Roman" w:eastAsia="Times New Roman" w:hAnsi="Times New Roman"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29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6729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6729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6729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6729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66729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67296"/>
    <w:rPr>
      <w:b/>
      <w:bCs/>
    </w:rPr>
  </w:style>
  <w:style w:type="character" w:customStyle="1" w:styleId="superscript">
    <w:name w:val="superscript"/>
    <w:basedOn w:val="Fuentedeprrafopredeter"/>
    <w:rsid w:val="00667296"/>
    <w:rPr>
      <w:b/>
      <w:bCs/>
      <w:sz w:val="17"/>
      <w:szCs w:val="17"/>
      <w:vertAlign w:val="superscript"/>
    </w:rPr>
  </w:style>
  <w:style w:type="character" w:customStyle="1" w:styleId="italicas">
    <w:name w:val="italicas"/>
    <w:basedOn w:val="Fuentedeprrafopredeter"/>
    <w:rsid w:val="00667296"/>
    <w:rPr>
      <w:i/>
      <w:iCs/>
    </w:rPr>
  </w:style>
  <w:style w:type="paragraph" w:customStyle="1" w:styleId="nobrinco">
    <w:name w:val="nobrinco"/>
    <w:basedOn w:val="Normal"/>
    <w:rsid w:val="00667296"/>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667296"/>
    <w:pPr>
      <w:spacing w:after="0" w:line="240" w:lineRule="auto"/>
      <w:jc w:val="both"/>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3435">
      <w:bodyDiv w:val="1"/>
      <w:marLeft w:val="150"/>
      <w:marRight w:val="150"/>
      <w:marTop w:val="0"/>
      <w:marBottom w:val="0"/>
      <w:divBdr>
        <w:top w:val="none" w:sz="0" w:space="0" w:color="auto"/>
        <w:left w:val="none" w:sz="0" w:space="0" w:color="auto"/>
        <w:bottom w:val="none" w:sz="0" w:space="0" w:color="auto"/>
        <w:right w:val="none" w:sz="0" w:space="0" w:color="auto"/>
      </w:divBdr>
      <w:divsChild>
        <w:div w:id="203909840">
          <w:marLeft w:val="0"/>
          <w:marRight w:val="0"/>
          <w:marTop w:val="0"/>
          <w:marBottom w:val="0"/>
          <w:divBdr>
            <w:top w:val="none" w:sz="0" w:space="0" w:color="auto"/>
            <w:left w:val="none" w:sz="0" w:space="0" w:color="auto"/>
            <w:bottom w:val="none" w:sz="0" w:space="0" w:color="auto"/>
            <w:right w:val="none" w:sz="0" w:space="0" w:color="auto"/>
          </w:divBdr>
          <w:divsChild>
            <w:div w:id="1979214569">
              <w:marLeft w:val="0"/>
              <w:marRight w:val="0"/>
              <w:marTop w:val="0"/>
              <w:marBottom w:val="0"/>
              <w:divBdr>
                <w:top w:val="none" w:sz="0" w:space="0" w:color="auto"/>
                <w:left w:val="none" w:sz="0" w:space="0" w:color="auto"/>
                <w:bottom w:val="none" w:sz="0" w:space="0" w:color="auto"/>
                <w:right w:val="none" w:sz="0" w:space="0" w:color="auto"/>
              </w:divBdr>
              <w:divsChild>
                <w:div w:id="73207909">
                  <w:marLeft w:val="0"/>
                  <w:marRight w:val="0"/>
                  <w:marTop w:val="1500"/>
                  <w:marBottom w:val="0"/>
                  <w:divBdr>
                    <w:top w:val="none" w:sz="0" w:space="0" w:color="auto"/>
                    <w:left w:val="none" w:sz="0" w:space="0" w:color="auto"/>
                    <w:bottom w:val="none" w:sz="0" w:space="0" w:color="auto"/>
                    <w:right w:val="none" w:sz="0" w:space="0" w:color="auto"/>
                  </w:divBdr>
                  <w:divsChild>
                    <w:div w:id="973754574">
                      <w:marLeft w:val="0"/>
                      <w:marRight w:val="0"/>
                      <w:marTop w:val="1500"/>
                      <w:marBottom w:val="0"/>
                      <w:divBdr>
                        <w:top w:val="none" w:sz="0" w:space="0" w:color="auto"/>
                        <w:left w:val="none" w:sz="0" w:space="0" w:color="auto"/>
                        <w:bottom w:val="none" w:sz="0" w:space="0" w:color="auto"/>
                        <w:right w:val="none" w:sz="0" w:space="0" w:color="auto"/>
                      </w:divBdr>
                      <w:divsChild>
                        <w:div w:id="903686949">
                          <w:marLeft w:val="0"/>
                          <w:marRight w:val="0"/>
                          <w:marTop w:val="1500"/>
                          <w:marBottom w:val="0"/>
                          <w:divBdr>
                            <w:top w:val="none" w:sz="0" w:space="0" w:color="auto"/>
                            <w:left w:val="none" w:sz="0" w:space="0" w:color="auto"/>
                            <w:bottom w:val="none" w:sz="0" w:space="0" w:color="auto"/>
                            <w:right w:val="none" w:sz="0" w:space="0" w:color="auto"/>
                          </w:divBdr>
                          <w:divsChild>
                            <w:div w:id="1550335055">
                              <w:marLeft w:val="0"/>
                              <w:marRight w:val="0"/>
                              <w:marTop w:val="1500"/>
                              <w:marBottom w:val="0"/>
                              <w:divBdr>
                                <w:top w:val="none" w:sz="0" w:space="0" w:color="auto"/>
                                <w:left w:val="none" w:sz="0" w:space="0" w:color="auto"/>
                                <w:bottom w:val="none" w:sz="0" w:space="0" w:color="auto"/>
                                <w:right w:val="none" w:sz="0" w:space="0" w:color="auto"/>
                              </w:divBdr>
                              <w:divsChild>
                                <w:div w:id="61296458">
                                  <w:marLeft w:val="0"/>
                                  <w:marRight w:val="0"/>
                                  <w:marTop w:val="1500"/>
                                  <w:marBottom w:val="0"/>
                                  <w:divBdr>
                                    <w:top w:val="none" w:sz="0" w:space="0" w:color="auto"/>
                                    <w:left w:val="none" w:sz="0" w:space="0" w:color="auto"/>
                                    <w:bottom w:val="none" w:sz="0" w:space="0" w:color="auto"/>
                                    <w:right w:val="none" w:sz="0" w:space="0" w:color="auto"/>
                                  </w:divBdr>
                                  <w:divsChild>
                                    <w:div w:id="787168000">
                                      <w:marLeft w:val="0"/>
                                      <w:marRight w:val="0"/>
                                      <w:marTop w:val="1500"/>
                                      <w:marBottom w:val="0"/>
                                      <w:divBdr>
                                        <w:top w:val="none" w:sz="0" w:space="0" w:color="auto"/>
                                        <w:left w:val="none" w:sz="0" w:space="0" w:color="auto"/>
                                        <w:bottom w:val="none" w:sz="0" w:space="0" w:color="auto"/>
                                        <w:right w:val="none" w:sz="0" w:space="0" w:color="auto"/>
                                      </w:divBdr>
                                      <w:divsChild>
                                        <w:div w:id="741102445">
                                          <w:marLeft w:val="0"/>
                                          <w:marRight w:val="0"/>
                                          <w:marTop w:val="1500"/>
                                          <w:marBottom w:val="0"/>
                                          <w:divBdr>
                                            <w:top w:val="none" w:sz="0" w:space="0" w:color="auto"/>
                                            <w:left w:val="none" w:sz="0" w:space="0" w:color="auto"/>
                                            <w:bottom w:val="none" w:sz="0" w:space="0" w:color="auto"/>
                                            <w:right w:val="none" w:sz="0" w:space="0" w:color="auto"/>
                                          </w:divBdr>
                                          <w:divsChild>
                                            <w:div w:id="289944737">
                                              <w:marLeft w:val="0"/>
                                              <w:marRight w:val="0"/>
                                              <w:marTop w:val="1500"/>
                                              <w:marBottom w:val="0"/>
                                              <w:divBdr>
                                                <w:top w:val="none" w:sz="0" w:space="0" w:color="auto"/>
                                                <w:left w:val="none" w:sz="0" w:space="0" w:color="auto"/>
                                                <w:bottom w:val="none" w:sz="0" w:space="0" w:color="auto"/>
                                                <w:right w:val="none" w:sz="0" w:space="0" w:color="auto"/>
                                              </w:divBdr>
                                              <w:divsChild>
                                                <w:div w:id="1231380721">
                                                  <w:marLeft w:val="0"/>
                                                  <w:marRight w:val="0"/>
                                                  <w:marTop w:val="1500"/>
                                                  <w:marBottom w:val="0"/>
                                                  <w:divBdr>
                                                    <w:top w:val="none" w:sz="0" w:space="0" w:color="auto"/>
                                                    <w:left w:val="none" w:sz="0" w:space="0" w:color="auto"/>
                                                    <w:bottom w:val="none" w:sz="0" w:space="0" w:color="auto"/>
                                                    <w:right w:val="none" w:sz="0" w:space="0" w:color="auto"/>
                                                  </w:divBdr>
                                                  <w:divsChild>
                                                    <w:div w:id="2143380028">
                                                      <w:marLeft w:val="0"/>
                                                      <w:marRight w:val="0"/>
                                                      <w:marTop w:val="1500"/>
                                                      <w:marBottom w:val="0"/>
                                                      <w:divBdr>
                                                        <w:top w:val="none" w:sz="0" w:space="0" w:color="auto"/>
                                                        <w:left w:val="none" w:sz="0" w:space="0" w:color="auto"/>
                                                        <w:bottom w:val="none" w:sz="0" w:space="0" w:color="auto"/>
                                                        <w:right w:val="none" w:sz="0" w:space="0" w:color="auto"/>
                                                      </w:divBdr>
                                                      <w:divsChild>
                                                        <w:div w:id="87695315">
                                                          <w:marLeft w:val="0"/>
                                                          <w:marRight w:val="0"/>
                                                          <w:marTop w:val="1500"/>
                                                          <w:marBottom w:val="0"/>
                                                          <w:divBdr>
                                                            <w:top w:val="none" w:sz="0" w:space="0" w:color="auto"/>
                                                            <w:left w:val="none" w:sz="0" w:space="0" w:color="auto"/>
                                                            <w:bottom w:val="none" w:sz="0" w:space="0" w:color="auto"/>
                                                            <w:right w:val="none" w:sz="0" w:space="0" w:color="auto"/>
                                                          </w:divBdr>
                                                          <w:divsChild>
                                                            <w:div w:id="607666037">
                                                              <w:marLeft w:val="0"/>
                                                              <w:marRight w:val="0"/>
                                                              <w:marTop w:val="1500"/>
                                                              <w:marBottom w:val="0"/>
                                                              <w:divBdr>
                                                                <w:top w:val="none" w:sz="0" w:space="0" w:color="auto"/>
                                                                <w:left w:val="none" w:sz="0" w:space="0" w:color="auto"/>
                                                                <w:bottom w:val="none" w:sz="0" w:space="0" w:color="auto"/>
                                                                <w:right w:val="none" w:sz="0" w:space="0" w:color="auto"/>
                                                              </w:divBdr>
                                                              <w:divsChild>
                                                                <w:div w:id="1349871407">
                                                                  <w:marLeft w:val="0"/>
                                                                  <w:marRight w:val="0"/>
                                                                  <w:marTop w:val="1500"/>
                                                                  <w:marBottom w:val="0"/>
                                                                  <w:divBdr>
                                                                    <w:top w:val="none" w:sz="0" w:space="0" w:color="auto"/>
                                                                    <w:left w:val="none" w:sz="0" w:space="0" w:color="auto"/>
                                                                    <w:bottom w:val="none" w:sz="0" w:space="0" w:color="auto"/>
                                                                    <w:right w:val="none" w:sz="0" w:space="0" w:color="auto"/>
                                                                  </w:divBdr>
                                                                  <w:divsChild>
                                                                    <w:div w:id="218830688">
                                                                      <w:marLeft w:val="0"/>
                                                                      <w:marRight w:val="0"/>
                                                                      <w:marTop w:val="1500"/>
                                                                      <w:marBottom w:val="0"/>
                                                                      <w:divBdr>
                                                                        <w:top w:val="none" w:sz="0" w:space="0" w:color="auto"/>
                                                                        <w:left w:val="none" w:sz="0" w:space="0" w:color="auto"/>
                                                                        <w:bottom w:val="none" w:sz="0" w:space="0" w:color="auto"/>
                                                                        <w:right w:val="none" w:sz="0" w:space="0" w:color="auto"/>
                                                                      </w:divBdr>
                                                                      <w:divsChild>
                                                                        <w:div w:id="1635715330">
                                                                          <w:marLeft w:val="0"/>
                                                                          <w:marRight w:val="0"/>
                                                                          <w:marTop w:val="1500"/>
                                                                          <w:marBottom w:val="0"/>
                                                                          <w:divBdr>
                                                                            <w:top w:val="none" w:sz="0" w:space="0" w:color="auto"/>
                                                                            <w:left w:val="none" w:sz="0" w:space="0" w:color="auto"/>
                                                                            <w:bottom w:val="none" w:sz="0" w:space="0" w:color="auto"/>
                                                                            <w:right w:val="none" w:sz="0" w:space="0" w:color="auto"/>
                                                                          </w:divBdr>
                                                                          <w:divsChild>
                                                                            <w:div w:id="1548224662">
                                                                              <w:marLeft w:val="0"/>
                                                                              <w:marRight w:val="0"/>
                                                                              <w:marTop w:val="1500"/>
                                                                              <w:marBottom w:val="0"/>
                                                                              <w:divBdr>
                                                                                <w:top w:val="none" w:sz="0" w:space="0" w:color="auto"/>
                                                                                <w:left w:val="none" w:sz="0" w:space="0" w:color="auto"/>
                                                                                <w:bottom w:val="none" w:sz="0" w:space="0" w:color="auto"/>
                                                                                <w:right w:val="none" w:sz="0" w:space="0" w:color="auto"/>
                                                                              </w:divBdr>
                                                                              <w:divsChild>
                                                                                <w:div w:id="467746302">
                                                                                  <w:marLeft w:val="0"/>
                                                                                  <w:marRight w:val="0"/>
                                                                                  <w:marTop w:val="1500"/>
                                                                                  <w:marBottom w:val="0"/>
                                                                                  <w:divBdr>
                                                                                    <w:top w:val="none" w:sz="0" w:space="0" w:color="auto"/>
                                                                                    <w:left w:val="none" w:sz="0" w:space="0" w:color="auto"/>
                                                                                    <w:bottom w:val="none" w:sz="0" w:space="0" w:color="auto"/>
                                                                                    <w:right w:val="none" w:sz="0" w:space="0" w:color="auto"/>
                                                                                  </w:divBdr>
                                                                                  <w:divsChild>
                                                                                    <w:div w:id="2055999316">
                                                                                      <w:marLeft w:val="0"/>
                                                                                      <w:marRight w:val="0"/>
                                                                                      <w:marTop w:val="1500"/>
                                                                                      <w:marBottom w:val="0"/>
                                                                                      <w:divBdr>
                                                                                        <w:top w:val="none" w:sz="0" w:space="0" w:color="auto"/>
                                                                                        <w:left w:val="none" w:sz="0" w:space="0" w:color="auto"/>
                                                                                        <w:bottom w:val="none" w:sz="0" w:space="0" w:color="auto"/>
                                                                                        <w:right w:val="none" w:sz="0" w:space="0" w:color="auto"/>
                                                                                      </w:divBdr>
                                                                                      <w:divsChild>
                                                                                        <w:div w:id="276300763">
                                                                                          <w:marLeft w:val="0"/>
                                                                                          <w:marRight w:val="0"/>
                                                                                          <w:marTop w:val="1500"/>
                                                                                          <w:marBottom w:val="0"/>
                                                                                          <w:divBdr>
                                                                                            <w:top w:val="none" w:sz="0" w:space="0" w:color="auto"/>
                                                                                            <w:left w:val="none" w:sz="0" w:space="0" w:color="auto"/>
                                                                                            <w:bottom w:val="none" w:sz="0" w:space="0" w:color="auto"/>
                                                                                            <w:right w:val="none" w:sz="0" w:space="0" w:color="auto"/>
                                                                                          </w:divBdr>
                                                                                          <w:divsChild>
                                                                                            <w:div w:id="20572649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544374">
      <w:bodyDiv w:val="1"/>
      <w:marLeft w:val="150"/>
      <w:marRight w:val="150"/>
      <w:marTop w:val="0"/>
      <w:marBottom w:val="0"/>
      <w:divBdr>
        <w:top w:val="none" w:sz="0" w:space="0" w:color="auto"/>
        <w:left w:val="none" w:sz="0" w:space="0" w:color="auto"/>
        <w:bottom w:val="none" w:sz="0" w:space="0" w:color="auto"/>
        <w:right w:val="none" w:sz="0" w:space="0" w:color="auto"/>
      </w:divBdr>
      <w:divsChild>
        <w:div w:id="398210041">
          <w:marLeft w:val="0"/>
          <w:marRight w:val="0"/>
          <w:marTop w:val="0"/>
          <w:marBottom w:val="0"/>
          <w:divBdr>
            <w:top w:val="none" w:sz="0" w:space="0" w:color="auto"/>
            <w:left w:val="none" w:sz="0" w:space="0" w:color="auto"/>
            <w:bottom w:val="none" w:sz="0" w:space="0" w:color="auto"/>
            <w:right w:val="none" w:sz="0" w:space="0" w:color="auto"/>
          </w:divBdr>
          <w:divsChild>
            <w:div w:id="277371117">
              <w:marLeft w:val="0"/>
              <w:marRight w:val="0"/>
              <w:marTop w:val="0"/>
              <w:marBottom w:val="0"/>
              <w:divBdr>
                <w:top w:val="none" w:sz="0" w:space="0" w:color="auto"/>
                <w:left w:val="none" w:sz="0" w:space="0" w:color="auto"/>
                <w:bottom w:val="none" w:sz="0" w:space="0" w:color="auto"/>
                <w:right w:val="none" w:sz="0" w:space="0" w:color="auto"/>
              </w:divBdr>
              <w:divsChild>
                <w:div w:id="574969449">
                  <w:marLeft w:val="0"/>
                  <w:marRight w:val="0"/>
                  <w:marTop w:val="1500"/>
                  <w:marBottom w:val="0"/>
                  <w:divBdr>
                    <w:top w:val="none" w:sz="0" w:space="0" w:color="auto"/>
                    <w:left w:val="none" w:sz="0" w:space="0" w:color="auto"/>
                    <w:bottom w:val="none" w:sz="0" w:space="0" w:color="auto"/>
                    <w:right w:val="none" w:sz="0" w:space="0" w:color="auto"/>
                  </w:divBdr>
                  <w:divsChild>
                    <w:div w:id="376861518">
                      <w:marLeft w:val="0"/>
                      <w:marRight w:val="0"/>
                      <w:marTop w:val="1500"/>
                      <w:marBottom w:val="0"/>
                      <w:divBdr>
                        <w:top w:val="none" w:sz="0" w:space="0" w:color="auto"/>
                        <w:left w:val="none" w:sz="0" w:space="0" w:color="auto"/>
                        <w:bottom w:val="none" w:sz="0" w:space="0" w:color="auto"/>
                        <w:right w:val="none" w:sz="0" w:space="0" w:color="auto"/>
                      </w:divBdr>
                      <w:divsChild>
                        <w:div w:id="628125648">
                          <w:marLeft w:val="0"/>
                          <w:marRight w:val="0"/>
                          <w:marTop w:val="1500"/>
                          <w:marBottom w:val="0"/>
                          <w:divBdr>
                            <w:top w:val="none" w:sz="0" w:space="0" w:color="auto"/>
                            <w:left w:val="none" w:sz="0" w:space="0" w:color="auto"/>
                            <w:bottom w:val="none" w:sz="0" w:space="0" w:color="auto"/>
                            <w:right w:val="none" w:sz="0" w:space="0" w:color="auto"/>
                          </w:divBdr>
                          <w:divsChild>
                            <w:div w:id="1158419755">
                              <w:marLeft w:val="0"/>
                              <w:marRight w:val="0"/>
                              <w:marTop w:val="1500"/>
                              <w:marBottom w:val="0"/>
                              <w:divBdr>
                                <w:top w:val="none" w:sz="0" w:space="0" w:color="auto"/>
                                <w:left w:val="none" w:sz="0" w:space="0" w:color="auto"/>
                                <w:bottom w:val="none" w:sz="0" w:space="0" w:color="auto"/>
                                <w:right w:val="none" w:sz="0" w:space="0" w:color="auto"/>
                              </w:divBdr>
                              <w:divsChild>
                                <w:div w:id="1221594565">
                                  <w:marLeft w:val="0"/>
                                  <w:marRight w:val="0"/>
                                  <w:marTop w:val="1500"/>
                                  <w:marBottom w:val="0"/>
                                  <w:divBdr>
                                    <w:top w:val="none" w:sz="0" w:space="0" w:color="auto"/>
                                    <w:left w:val="none" w:sz="0" w:space="0" w:color="auto"/>
                                    <w:bottom w:val="none" w:sz="0" w:space="0" w:color="auto"/>
                                    <w:right w:val="none" w:sz="0" w:space="0" w:color="auto"/>
                                  </w:divBdr>
                                  <w:divsChild>
                                    <w:div w:id="1293947183">
                                      <w:marLeft w:val="0"/>
                                      <w:marRight w:val="0"/>
                                      <w:marTop w:val="1500"/>
                                      <w:marBottom w:val="0"/>
                                      <w:divBdr>
                                        <w:top w:val="none" w:sz="0" w:space="0" w:color="auto"/>
                                        <w:left w:val="none" w:sz="0" w:space="0" w:color="auto"/>
                                        <w:bottom w:val="none" w:sz="0" w:space="0" w:color="auto"/>
                                        <w:right w:val="none" w:sz="0" w:space="0" w:color="auto"/>
                                      </w:divBdr>
                                      <w:divsChild>
                                        <w:div w:id="550532456">
                                          <w:marLeft w:val="0"/>
                                          <w:marRight w:val="0"/>
                                          <w:marTop w:val="1500"/>
                                          <w:marBottom w:val="0"/>
                                          <w:divBdr>
                                            <w:top w:val="none" w:sz="0" w:space="0" w:color="auto"/>
                                            <w:left w:val="none" w:sz="0" w:space="0" w:color="auto"/>
                                            <w:bottom w:val="none" w:sz="0" w:space="0" w:color="auto"/>
                                            <w:right w:val="none" w:sz="0" w:space="0" w:color="auto"/>
                                          </w:divBdr>
                                          <w:divsChild>
                                            <w:div w:id="488717467">
                                              <w:marLeft w:val="0"/>
                                              <w:marRight w:val="0"/>
                                              <w:marTop w:val="1500"/>
                                              <w:marBottom w:val="0"/>
                                              <w:divBdr>
                                                <w:top w:val="none" w:sz="0" w:space="0" w:color="auto"/>
                                                <w:left w:val="none" w:sz="0" w:space="0" w:color="auto"/>
                                                <w:bottom w:val="none" w:sz="0" w:space="0" w:color="auto"/>
                                                <w:right w:val="none" w:sz="0" w:space="0" w:color="auto"/>
                                              </w:divBdr>
                                              <w:divsChild>
                                                <w:div w:id="597979288">
                                                  <w:marLeft w:val="0"/>
                                                  <w:marRight w:val="0"/>
                                                  <w:marTop w:val="1500"/>
                                                  <w:marBottom w:val="0"/>
                                                  <w:divBdr>
                                                    <w:top w:val="none" w:sz="0" w:space="0" w:color="auto"/>
                                                    <w:left w:val="none" w:sz="0" w:space="0" w:color="auto"/>
                                                    <w:bottom w:val="none" w:sz="0" w:space="0" w:color="auto"/>
                                                    <w:right w:val="none" w:sz="0" w:space="0" w:color="auto"/>
                                                  </w:divBdr>
                                                  <w:divsChild>
                                                    <w:div w:id="413404719">
                                                      <w:marLeft w:val="0"/>
                                                      <w:marRight w:val="0"/>
                                                      <w:marTop w:val="1500"/>
                                                      <w:marBottom w:val="0"/>
                                                      <w:divBdr>
                                                        <w:top w:val="none" w:sz="0" w:space="0" w:color="auto"/>
                                                        <w:left w:val="none" w:sz="0" w:space="0" w:color="auto"/>
                                                        <w:bottom w:val="none" w:sz="0" w:space="0" w:color="auto"/>
                                                        <w:right w:val="none" w:sz="0" w:space="0" w:color="auto"/>
                                                      </w:divBdr>
                                                      <w:divsChild>
                                                        <w:div w:id="1023361940">
                                                          <w:marLeft w:val="0"/>
                                                          <w:marRight w:val="0"/>
                                                          <w:marTop w:val="1500"/>
                                                          <w:marBottom w:val="0"/>
                                                          <w:divBdr>
                                                            <w:top w:val="none" w:sz="0" w:space="0" w:color="auto"/>
                                                            <w:left w:val="none" w:sz="0" w:space="0" w:color="auto"/>
                                                            <w:bottom w:val="none" w:sz="0" w:space="0" w:color="auto"/>
                                                            <w:right w:val="none" w:sz="0" w:space="0" w:color="auto"/>
                                                          </w:divBdr>
                                                          <w:divsChild>
                                                            <w:div w:id="1202136712">
                                                              <w:marLeft w:val="0"/>
                                                              <w:marRight w:val="0"/>
                                                              <w:marTop w:val="1500"/>
                                                              <w:marBottom w:val="0"/>
                                                              <w:divBdr>
                                                                <w:top w:val="none" w:sz="0" w:space="0" w:color="auto"/>
                                                                <w:left w:val="none" w:sz="0" w:space="0" w:color="auto"/>
                                                                <w:bottom w:val="none" w:sz="0" w:space="0" w:color="auto"/>
                                                                <w:right w:val="none" w:sz="0" w:space="0" w:color="auto"/>
                                                              </w:divBdr>
                                                              <w:divsChild>
                                                                <w:div w:id="768309498">
                                                                  <w:marLeft w:val="0"/>
                                                                  <w:marRight w:val="0"/>
                                                                  <w:marTop w:val="1500"/>
                                                                  <w:marBottom w:val="0"/>
                                                                  <w:divBdr>
                                                                    <w:top w:val="none" w:sz="0" w:space="0" w:color="auto"/>
                                                                    <w:left w:val="none" w:sz="0" w:space="0" w:color="auto"/>
                                                                    <w:bottom w:val="none" w:sz="0" w:space="0" w:color="auto"/>
                                                                    <w:right w:val="none" w:sz="0" w:space="0" w:color="auto"/>
                                                                  </w:divBdr>
                                                                  <w:divsChild>
                                                                    <w:div w:id="1119909794">
                                                                      <w:marLeft w:val="0"/>
                                                                      <w:marRight w:val="0"/>
                                                                      <w:marTop w:val="1500"/>
                                                                      <w:marBottom w:val="0"/>
                                                                      <w:divBdr>
                                                                        <w:top w:val="none" w:sz="0" w:space="0" w:color="auto"/>
                                                                        <w:left w:val="none" w:sz="0" w:space="0" w:color="auto"/>
                                                                        <w:bottom w:val="none" w:sz="0" w:space="0" w:color="auto"/>
                                                                        <w:right w:val="none" w:sz="0" w:space="0" w:color="auto"/>
                                                                      </w:divBdr>
                                                                      <w:divsChild>
                                                                        <w:div w:id="1026247650">
                                                                          <w:marLeft w:val="0"/>
                                                                          <w:marRight w:val="0"/>
                                                                          <w:marTop w:val="1500"/>
                                                                          <w:marBottom w:val="0"/>
                                                                          <w:divBdr>
                                                                            <w:top w:val="none" w:sz="0" w:space="0" w:color="auto"/>
                                                                            <w:left w:val="none" w:sz="0" w:space="0" w:color="auto"/>
                                                                            <w:bottom w:val="none" w:sz="0" w:space="0" w:color="auto"/>
                                                                            <w:right w:val="none" w:sz="0" w:space="0" w:color="auto"/>
                                                                          </w:divBdr>
                                                                          <w:divsChild>
                                                                            <w:div w:id="703600723">
                                                                              <w:marLeft w:val="0"/>
                                                                              <w:marRight w:val="0"/>
                                                                              <w:marTop w:val="1500"/>
                                                                              <w:marBottom w:val="0"/>
                                                                              <w:divBdr>
                                                                                <w:top w:val="none" w:sz="0" w:space="0" w:color="auto"/>
                                                                                <w:left w:val="none" w:sz="0" w:space="0" w:color="auto"/>
                                                                                <w:bottom w:val="none" w:sz="0" w:space="0" w:color="auto"/>
                                                                                <w:right w:val="none" w:sz="0" w:space="0" w:color="auto"/>
                                                                              </w:divBdr>
                                                                              <w:divsChild>
                                                                                <w:div w:id="2066682532">
                                                                                  <w:marLeft w:val="0"/>
                                                                                  <w:marRight w:val="0"/>
                                                                                  <w:marTop w:val="1500"/>
                                                                                  <w:marBottom w:val="0"/>
                                                                                  <w:divBdr>
                                                                                    <w:top w:val="none" w:sz="0" w:space="0" w:color="auto"/>
                                                                                    <w:left w:val="none" w:sz="0" w:space="0" w:color="auto"/>
                                                                                    <w:bottom w:val="none" w:sz="0" w:space="0" w:color="auto"/>
                                                                                    <w:right w:val="none" w:sz="0" w:space="0" w:color="auto"/>
                                                                                  </w:divBdr>
                                                                                  <w:divsChild>
                                                                                    <w:div w:id="10229468">
                                                                                      <w:marLeft w:val="0"/>
                                                                                      <w:marRight w:val="0"/>
                                                                                      <w:marTop w:val="1500"/>
                                                                                      <w:marBottom w:val="0"/>
                                                                                      <w:divBdr>
                                                                                        <w:top w:val="none" w:sz="0" w:space="0" w:color="auto"/>
                                                                                        <w:left w:val="none" w:sz="0" w:space="0" w:color="auto"/>
                                                                                        <w:bottom w:val="none" w:sz="0" w:space="0" w:color="auto"/>
                                                                                        <w:right w:val="none" w:sz="0" w:space="0" w:color="auto"/>
                                                                                      </w:divBdr>
                                                                                      <w:divsChild>
                                                                                        <w:div w:id="38436119">
                                                                                          <w:marLeft w:val="0"/>
                                                                                          <w:marRight w:val="0"/>
                                                                                          <w:marTop w:val="1500"/>
                                                                                          <w:marBottom w:val="0"/>
                                                                                          <w:divBdr>
                                                                                            <w:top w:val="none" w:sz="0" w:space="0" w:color="auto"/>
                                                                                            <w:left w:val="none" w:sz="0" w:space="0" w:color="auto"/>
                                                                                            <w:bottom w:val="none" w:sz="0" w:space="0" w:color="auto"/>
                                                                                            <w:right w:val="none" w:sz="0" w:space="0" w:color="auto"/>
                                                                                          </w:divBdr>
                                                                                          <w:divsChild>
                                                                                            <w:div w:id="91771162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6689</Words>
  <Characters>36794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2011-10-19T17:58:00Z</dcterms:created>
  <dcterms:modified xsi:type="dcterms:W3CDTF">2011-10-19T18:50:00Z</dcterms:modified>
</cp:coreProperties>
</file>