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F2" w:rsidRPr="00A43533" w:rsidRDefault="005943F2" w:rsidP="005943F2">
      <w:pPr>
        <w:pStyle w:val="versales"/>
        <w:rPr>
          <w:rFonts w:ascii="Arial" w:hAnsi="Arial" w:cs="Arial"/>
          <w:color w:val="auto"/>
        </w:rPr>
      </w:pPr>
      <w:bookmarkStart w:id="0" w:name="DictamenNOIni25"/>
      <w:bookmarkStart w:id="1" w:name="_GoBack"/>
      <w:r w:rsidRPr="00A43533">
        <w:rPr>
          <w:rFonts w:ascii="Arial" w:hAnsi="Arial" w:cs="Arial"/>
          <w:color w:val="auto"/>
        </w:rPr>
        <w:t xml:space="preserve">De la Comisión de Economía, con puntos de acuerdo por los que se desecha la iniciativa con proyecto de decreto que reforma y adiciona diversas disposiciones de la Ley Federal de la Competencia Económica </w:t>
      </w:r>
    </w:p>
    <w:bookmarkEnd w:id="1"/>
    <w:p w:rsidR="005943F2" w:rsidRPr="00A43533" w:rsidRDefault="005943F2" w:rsidP="005943F2">
      <w:pPr>
        <w:pStyle w:val="NormalWeb"/>
        <w:rPr>
          <w:rFonts w:ascii="Arial" w:hAnsi="Arial" w:cs="Arial"/>
          <w:sz w:val="22"/>
          <w:szCs w:val="22"/>
        </w:rPr>
      </w:pPr>
      <w:r w:rsidRPr="00A43533">
        <w:rPr>
          <w:rStyle w:val="negritas"/>
          <w:rFonts w:ascii="Arial" w:hAnsi="Arial" w:cs="Arial"/>
          <w:sz w:val="22"/>
          <w:szCs w:val="22"/>
        </w:rPr>
        <w:t>Honorable Asamblea:</w:t>
      </w:r>
      <w:r w:rsidRPr="00A43533">
        <w:rPr>
          <w:rFonts w:ascii="Arial" w:hAnsi="Arial" w:cs="Arial"/>
          <w:sz w:val="22"/>
          <w:szCs w:val="22"/>
        </w:rPr>
        <w:t xml:space="preserve"> </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 xml:space="preserve">A la Comisión de Economía de la Cámara de Diputados del Congreso de la Unión correspondiente a la LXI Legislatura, con fundamento en los artículos 66 y 68 de su Reglamento, fue turnada para estudio y dictamen la </w:t>
      </w:r>
      <w:r w:rsidRPr="00A43533">
        <w:rPr>
          <w:rStyle w:val="negritas"/>
          <w:rFonts w:ascii="Arial" w:hAnsi="Arial" w:cs="Arial"/>
          <w:sz w:val="22"/>
          <w:szCs w:val="22"/>
        </w:rPr>
        <w:t>iniciativa con proyecto de decreto por el que se reforman y adicionan diversas disposiciones de la Ley Federal de Competencia Económica,</w:t>
      </w:r>
      <w:r w:rsidRPr="00A43533">
        <w:rPr>
          <w:rFonts w:ascii="Arial" w:hAnsi="Arial" w:cs="Arial"/>
          <w:sz w:val="22"/>
          <w:szCs w:val="22"/>
        </w:rPr>
        <w:t xml:space="preserve"> presentada por los senadores de la República de la LXI Legislatura Minerva Hernández Ramos, René Arce, Francisco Arroyo </w:t>
      </w:r>
      <w:proofErr w:type="spellStart"/>
      <w:r w:rsidRPr="00A43533">
        <w:rPr>
          <w:rFonts w:ascii="Arial" w:hAnsi="Arial" w:cs="Arial"/>
          <w:sz w:val="22"/>
          <w:szCs w:val="22"/>
        </w:rPr>
        <w:t>Vieyra</w:t>
      </w:r>
      <w:proofErr w:type="spellEnd"/>
      <w:r w:rsidRPr="00A43533">
        <w:rPr>
          <w:rFonts w:ascii="Arial" w:hAnsi="Arial" w:cs="Arial"/>
          <w:sz w:val="22"/>
          <w:szCs w:val="22"/>
        </w:rPr>
        <w:t xml:space="preserve"> y Guillermo </w:t>
      </w:r>
      <w:proofErr w:type="spellStart"/>
      <w:r w:rsidRPr="00A43533">
        <w:rPr>
          <w:rFonts w:ascii="Arial" w:hAnsi="Arial" w:cs="Arial"/>
          <w:sz w:val="22"/>
          <w:szCs w:val="22"/>
        </w:rPr>
        <w:t>Tamborrel</w:t>
      </w:r>
      <w:proofErr w:type="spellEnd"/>
      <w:r w:rsidRPr="00A43533">
        <w:rPr>
          <w:rFonts w:ascii="Arial" w:hAnsi="Arial" w:cs="Arial"/>
          <w:sz w:val="22"/>
          <w:szCs w:val="22"/>
        </w:rPr>
        <w:t xml:space="preserve"> Suárez, integrantes de diversos grupos parlamentarios, en fecha 12 de abril de 2011.</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La Comisión de Economía, con fundamento en los artículos 39 y 45, numeral 6, incisos e) y f), de la Ley Orgánica del Congreso General de los Estados Unidos Mexicanos, así como 66, 68, 157 y 158, numeral 1, fracción IV, del Reglamento de la Cámara de Diputados del Congreso de la Unión, se abocó al estudio y análisis de la iniciativa mencionada, al tenor de los siguientes</w:t>
      </w:r>
    </w:p>
    <w:p w:rsidR="005943F2" w:rsidRPr="00A43533" w:rsidRDefault="005943F2" w:rsidP="005943F2">
      <w:pPr>
        <w:pStyle w:val="centrar"/>
        <w:rPr>
          <w:rFonts w:ascii="Arial" w:hAnsi="Arial" w:cs="Arial"/>
          <w:sz w:val="22"/>
          <w:szCs w:val="22"/>
        </w:rPr>
      </w:pPr>
      <w:r w:rsidRPr="00A43533">
        <w:rPr>
          <w:rFonts w:ascii="Arial" w:hAnsi="Arial" w:cs="Arial"/>
          <w:sz w:val="22"/>
          <w:szCs w:val="22"/>
        </w:rPr>
        <w:t>Antecedentes</w:t>
      </w:r>
    </w:p>
    <w:p w:rsidR="005943F2" w:rsidRPr="00A43533" w:rsidRDefault="005943F2" w:rsidP="005943F2">
      <w:pPr>
        <w:pStyle w:val="NormalWeb"/>
        <w:rPr>
          <w:rFonts w:ascii="Arial" w:hAnsi="Arial" w:cs="Arial"/>
          <w:sz w:val="22"/>
          <w:szCs w:val="22"/>
        </w:rPr>
      </w:pPr>
      <w:r w:rsidRPr="00A43533">
        <w:rPr>
          <w:rStyle w:val="negritas"/>
          <w:rFonts w:ascii="Arial" w:hAnsi="Arial" w:cs="Arial"/>
          <w:sz w:val="22"/>
          <w:szCs w:val="22"/>
        </w:rPr>
        <w:t>Primero.</w:t>
      </w:r>
      <w:r w:rsidRPr="00A43533">
        <w:rPr>
          <w:rFonts w:ascii="Arial" w:hAnsi="Arial" w:cs="Arial"/>
          <w:sz w:val="22"/>
          <w:szCs w:val="22"/>
        </w:rPr>
        <w:t xml:space="preserve"> En sesión celebrada en la Cámara de Diputados en fecha 12 de abril de 2011, la Presidencia de la Mesa Directiva dio cuenta al pleno de esta soberanía de la iniciativa con proyecto de decreto que se mencionó en el exordio del presente dictamen.</w:t>
      </w:r>
    </w:p>
    <w:p w:rsidR="005943F2" w:rsidRPr="00A43533" w:rsidRDefault="005943F2" w:rsidP="005943F2">
      <w:pPr>
        <w:pStyle w:val="NormalWeb"/>
        <w:rPr>
          <w:rFonts w:ascii="Arial" w:hAnsi="Arial" w:cs="Arial"/>
          <w:sz w:val="22"/>
          <w:szCs w:val="22"/>
        </w:rPr>
      </w:pPr>
      <w:r w:rsidRPr="00A43533">
        <w:rPr>
          <w:rStyle w:val="negritas"/>
          <w:rFonts w:ascii="Arial" w:hAnsi="Arial" w:cs="Arial"/>
          <w:sz w:val="22"/>
          <w:szCs w:val="22"/>
        </w:rPr>
        <w:t>Segundo.</w:t>
      </w:r>
      <w:r w:rsidRPr="00A43533">
        <w:rPr>
          <w:rFonts w:ascii="Arial" w:hAnsi="Arial" w:cs="Arial"/>
          <w:sz w:val="22"/>
          <w:szCs w:val="22"/>
        </w:rPr>
        <w:t xml:space="preserve"> El presidente de la Mesa Directiva acordó dar el trámite siguiente trámite: </w:t>
      </w:r>
      <w:r w:rsidRPr="00A43533">
        <w:rPr>
          <w:rStyle w:val="negritas"/>
          <w:rFonts w:ascii="Arial" w:hAnsi="Arial" w:cs="Arial"/>
          <w:sz w:val="22"/>
          <w:szCs w:val="22"/>
        </w:rPr>
        <w:t>“Túrnese a la Comisión de Economía”.</w:t>
      </w:r>
      <w:r w:rsidRPr="00A43533">
        <w:rPr>
          <w:rFonts w:ascii="Arial" w:hAnsi="Arial" w:cs="Arial"/>
          <w:sz w:val="22"/>
          <w:szCs w:val="22"/>
        </w:rPr>
        <w:t xml:space="preserve"> </w:t>
      </w:r>
    </w:p>
    <w:p w:rsidR="005943F2" w:rsidRPr="00A43533" w:rsidRDefault="005943F2" w:rsidP="005943F2">
      <w:pPr>
        <w:pStyle w:val="NormalWeb"/>
        <w:rPr>
          <w:rFonts w:ascii="Arial" w:hAnsi="Arial" w:cs="Arial"/>
          <w:sz w:val="22"/>
          <w:szCs w:val="22"/>
        </w:rPr>
      </w:pPr>
      <w:r w:rsidRPr="00A43533">
        <w:rPr>
          <w:rStyle w:val="negritas"/>
          <w:rFonts w:ascii="Arial" w:hAnsi="Arial" w:cs="Arial"/>
          <w:sz w:val="22"/>
          <w:szCs w:val="22"/>
        </w:rPr>
        <w:t>Tercero.</w:t>
      </w:r>
      <w:r w:rsidRPr="00A43533">
        <w:rPr>
          <w:rFonts w:ascii="Arial" w:hAnsi="Arial" w:cs="Arial"/>
          <w:sz w:val="22"/>
          <w:szCs w:val="22"/>
        </w:rPr>
        <w:t xml:space="preserve"> La iniciativa de los senadores Minerva Hernández Ramos, René Arce, Francisco Arroyo </w:t>
      </w:r>
      <w:proofErr w:type="spellStart"/>
      <w:r w:rsidRPr="00A43533">
        <w:rPr>
          <w:rFonts w:ascii="Arial" w:hAnsi="Arial" w:cs="Arial"/>
          <w:sz w:val="22"/>
          <w:szCs w:val="22"/>
        </w:rPr>
        <w:t>Vieyra</w:t>
      </w:r>
      <w:proofErr w:type="spellEnd"/>
      <w:r w:rsidRPr="00A43533">
        <w:rPr>
          <w:rFonts w:ascii="Arial" w:hAnsi="Arial" w:cs="Arial"/>
          <w:sz w:val="22"/>
          <w:szCs w:val="22"/>
        </w:rPr>
        <w:t xml:space="preserve"> y Guillermo </w:t>
      </w:r>
      <w:proofErr w:type="spellStart"/>
      <w:r w:rsidRPr="00A43533">
        <w:rPr>
          <w:rFonts w:ascii="Arial" w:hAnsi="Arial" w:cs="Arial"/>
          <w:sz w:val="22"/>
          <w:szCs w:val="22"/>
        </w:rPr>
        <w:t>Tamborrel</w:t>
      </w:r>
      <w:proofErr w:type="spellEnd"/>
      <w:r w:rsidRPr="00A43533">
        <w:rPr>
          <w:rFonts w:ascii="Arial" w:hAnsi="Arial" w:cs="Arial"/>
          <w:sz w:val="22"/>
          <w:szCs w:val="22"/>
        </w:rPr>
        <w:t xml:space="preserve"> Suárez propone en resumen lo siguiente:</w:t>
      </w:r>
    </w:p>
    <w:p w:rsidR="005943F2" w:rsidRPr="00A43533" w:rsidRDefault="005943F2" w:rsidP="005943F2">
      <w:pPr>
        <w:pStyle w:val="sangria"/>
        <w:rPr>
          <w:rFonts w:ascii="Arial" w:hAnsi="Arial" w:cs="Arial"/>
          <w:sz w:val="22"/>
          <w:szCs w:val="22"/>
        </w:rPr>
      </w:pPr>
      <w:r w:rsidRPr="00A43533">
        <w:rPr>
          <w:rFonts w:ascii="Arial" w:hAnsi="Arial" w:cs="Arial"/>
          <w:sz w:val="22"/>
          <w:szCs w:val="22"/>
        </w:rPr>
        <w:t xml:space="preserve">• Incorporar a la Ley Federal de Competencia Económica (LFCE) el concepto de </w:t>
      </w:r>
      <w:r w:rsidRPr="00A43533">
        <w:rPr>
          <w:rStyle w:val="italicas"/>
          <w:rFonts w:ascii="Arial" w:hAnsi="Arial" w:cs="Arial"/>
          <w:sz w:val="22"/>
          <w:szCs w:val="22"/>
        </w:rPr>
        <w:t>monopsonios</w:t>
      </w:r>
      <w:r w:rsidRPr="00A43533">
        <w:rPr>
          <w:rFonts w:ascii="Arial" w:hAnsi="Arial" w:cs="Arial"/>
          <w:sz w:val="22"/>
          <w:szCs w:val="22"/>
        </w:rPr>
        <w:t xml:space="preserve"> y de </w:t>
      </w:r>
      <w:r w:rsidRPr="00A43533">
        <w:rPr>
          <w:rStyle w:val="italicas"/>
          <w:rFonts w:ascii="Arial" w:hAnsi="Arial" w:cs="Arial"/>
          <w:sz w:val="22"/>
          <w:szCs w:val="22"/>
        </w:rPr>
        <w:t xml:space="preserve">prácticas </w:t>
      </w:r>
      <w:proofErr w:type="spellStart"/>
      <w:r w:rsidRPr="00A43533">
        <w:rPr>
          <w:rStyle w:val="italicas"/>
          <w:rFonts w:ascii="Arial" w:hAnsi="Arial" w:cs="Arial"/>
          <w:sz w:val="22"/>
          <w:szCs w:val="22"/>
        </w:rPr>
        <w:t>monopsónicas</w:t>
      </w:r>
      <w:proofErr w:type="spellEnd"/>
      <w:r w:rsidRPr="00A43533">
        <w:rPr>
          <w:rStyle w:val="italicas"/>
          <w:rFonts w:ascii="Arial" w:hAnsi="Arial" w:cs="Arial"/>
          <w:sz w:val="22"/>
          <w:szCs w:val="22"/>
        </w:rPr>
        <w:t>.</w:t>
      </w:r>
      <w:r w:rsidRPr="00A43533">
        <w:rPr>
          <w:rFonts w:ascii="Arial" w:hAnsi="Arial" w:cs="Arial"/>
          <w:sz w:val="22"/>
          <w:szCs w:val="22"/>
        </w:rPr>
        <w:t xml:space="preserve"> </w:t>
      </w:r>
    </w:p>
    <w:p w:rsidR="005943F2" w:rsidRPr="00A43533" w:rsidRDefault="005943F2" w:rsidP="005943F2">
      <w:pPr>
        <w:pStyle w:val="sangria"/>
        <w:rPr>
          <w:rFonts w:ascii="Arial" w:hAnsi="Arial" w:cs="Arial"/>
          <w:sz w:val="22"/>
          <w:szCs w:val="22"/>
        </w:rPr>
      </w:pPr>
      <w:r w:rsidRPr="00A43533">
        <w:rPr>
          <w:rFonts w:ascii="Arial" w:hAnsi="Arial" w:cs="Arial"/>
          <w:sz w:val="22"/>
          <w:szCs w:val="22"/>
        </w:rPr>
        <w:t xml:space="preserve">• Establecer que no constituyen monopsonios las actividades que realice el Estado para el cumplimiento de sus fines ni prácticas </w:t>
      </w:r>
      <w:proofErr w:type="spellStart"/>
      <w:r w:rsidRPr="00A43533">
        <w:rPr>
          <w:rFonts w:ascii="Arial" w:hAnsi="Arial" w:cs="Arial"/>
          <w:sz w:val="22"/>
          <w:szCs w:val="22"/>
        </w:rPr>
        <w:t>monopsónicas</w:t>
      </w:r>
      <w:proofErr w:type="spellEnd"/>
      <w:r w:rsidRPr="00A43533">
        <w:rPr>
          <w:rFonts w:ascii="Arial" w:hAnsi="Arial" w:cs="Arial"/>
          <w:sz w:val="22"/>
          <w:szCs w:val="22"/>
        </w:rPr>
        <w:t>, las prácticas que realice el Estado en beneficio del erario.</w:t>
      </w:r>
    </w:p>
    <w:p w:rsidR="005943F2" w:rsidRPr="00A43533" w:rsidRDefault="005943F2" w:rsidP="005943F2">
      <w:pPr>
        <w:pStyle w:val="sangria"/>
        <w:rPr>
          <w:rFonts w:ascii="Arial" w:hAnsi="Arial" w:cs="Arial"/>
          <w:sz w:val="22"/>
          <w:szCs w:val="22"/>
        </w:rPr>
      </w:pPr>
      <w:r w:rsidRPr="00A43533">
        <w:rPr>
          <w:rFonts w:ascii="Arial" w:hAnsi="Arial" w:cs="Arial"/>
          <w:sz w:val="22"/>
          <w:szCs w:val="22"/>
        </w:rPr>
        <w:t xml:space="preserve">• Considerar prácticas </w:t>
      </w:r>
      <w:proofErr w:type="spellStart"/>
      <w:r w:rsidRPr="00A43533">
        <w:rPr>
          <w:rFonts w:ascii="Arial" w:hAnsi="Arial" w:cs="Arial"/>
          <w:sz w:val="22"/>
          <w:szCs w:val="22"/>
        </w:rPr>
        <w:t>monopsónicas</w:t>
      </w:r>
      <w:proofErr w:type="spellEnd"/>
      <w:r w:rsidRPr="00A43533">
        <w:rPr>
          <w:rFonts w:ascii="Arial" w:hAnsi="Arial" w:cs="Arial"/>
          <w:sz w:val="22"/>
          <w:szCs w:val="22"/>
        </w:rPr>
        <w:t xml:space="preserve"> relativas la imposición de condiciones a proveedores de bienes y servicios que incluyan, entre otros, los plazos de pago, descuentos, plazos y condiciones de entrega de bienes y servicios, u otras condiciones que sean significativamente diferentes de las prevalecientes en el mercado relevante.</w:t>
      </w:r>
    </w:p>
    <w:p w:rsidR="005943F2" w:rsidRPr="00A43533" w:rsidRDefault="005943F2" w:rsidP="005943F2">
      <w:pPr>
        <w:pStyle w:val="sangria"/>
        <w:rPr>
          <w:rFonts w:ascii="Arial" w:hAnsi="Arial" w:cs="Arial"/>
          <w:sz w:val="22"/>
          <w:szCs w:val="22"/>
        </w:rPr>
      </w:pPr>
      <w:r w:rsidRPr="00A43533">
        <w:rPr>
          <w:rFonts w:ascii="Arial" w:hAnsi="Arial" w:cs="Arial"/>
          <w:sz w:val="22"/>
          <w:szCs w:val="22"/>
        </w:rPr>
        <w:t xml:space="preserve">• Incluir como supuesto violatorio de la ley que en las prácticas monopólicas y </w:t>
      </w:r>
      <w:proofErr w:type="spellStart"/>
      <w:r w:rsidRPr="00A43533">
        <w:rPr>
          <w:rFonts w:ascii="Arial" w:hAnsi="Arial" w:cs="Arial"/>
          <w:sz w:val="22"/>
          <w:szCs w:val="22"/>
        </w:rPr>
        <w:t>monopsónicas</w:t>
      </w:r>
      <w:proofErr w:type="spellEnd"/>
      <w:r w:rsidRPr="00A43533">
        <w:rPr>
          <w:rFonts w:ascii="Arial" w:hAnsi="Arial" w:cs="Arial"/>
          <w:sz w:val="22"/>
          <w:szCs w:val="22"/>
        </w:rPr>
        <w:t xml:space="preserve"> relativas deberá comprobarse que existe un daño presente o potencial al mercado relevante.</w:t>
      </w:r>
    </w:p>
    <w:p w:rsidR="005943F2" w:rsidRPr="00A43533" w:rsidRDefault="005943F2" w:rsidP="005943F2">
      <w:pPr>
        <w:pStyle w:val="sangria"/>
        <w:rPr>
          <w:rFonts w:ascii="Arial" w:hAnsi="Arial" w:cs="Arial"/>
          <w:sz w:val="22"/>
          <w:szCs w:val="22"/>
        </w:rPr>
      </w:pPr>
      <w:r w:rsidRPr="00A43533">
        <w:rPr>
          <w:rFonts w:ascii="Arial" w:hAnsi="Arial" w:cs="Arial"/>
          <w:sz w:val="22"/>
          <w:szCs w:val="22"/>
        </w:rPr>
        <w:lastRenderedPageBreak/>
        <w:t>• Establecer que para determinar si un agente económico tiene poder sustancial en el mercado relevante deberá considerarse la capacidad de los agentes económicos para acceder, en tiempo y calidad, a fuentes alternativas de abasto; o bien, mediante la celebración de acuerdos o contratos de largo plazo con otros proveedores actuales o potenciales.</w:t>
      </w:r>
    </w:p>
    <w:p w:rsidR="005943F2" w:rsidRPr="00A43533" w:rsidRDefault="005943F2" w:rsidP="005943F2">
      <w:pPr>
        <w:pStyle w:val="centrar"/>
        <w:rPr>
          <w:rFonts w:ascii="Arial" w:hAnsi="Arial" w:cs="Arial"/>
          <w:sz w:val="22"/>
          <w:szCs w:val="22"/>
        </w:rPr>
      </w:pPr>
      <w:r w:rsidRPr="00A43533">
        <w:rPr>
          <w:rFonts w:ascii="Arial" w:hAnsi="Arial" w:cs="Arial"/>
          <w:sz w:val="22"/>
          <w:szCs w:val="22"/>
        </w:rPr>
        <w:t>Consideraciones</w:t>
      </w:r>
    </w:p>
    <w:p w:rsidR="005943F2" w:rsidRPr="00A43533" w:rsidRDefault="005943F2" w:rsidP="005943F2">
      <w:pPr>
        <w:pStyle w:val="NormalWeb"/>
        <w:rPr>
          <w:rFonts w:ascii="Arial" w:hAnsi="Arial" w:cs="Arial"/>
          <w:sz w:val="22"/>
          <w:szCs w:val="22"/>
        </w:rPr>
      </w:pPr>
      <w:r w:rsidRPr="00A43533">
        <w:rPr>
          <w:rStyle w:val="negritas"/>
          <w:rFonts w:ascii="Arial" w:hAnsi="Arial" w:cs="Arial"/>
          <w:sz w:val="22"/>
          <w:szCs w:val="22"/>
        </w:rPr>
        <w:t>Primera.</w:t>
      </w:r>
      <w:r w:rsidRPr="00A43533">
        <w:rPr>
          <w:rFonts w:ascii="Arial" w:hAnsi="Arial" w:cs="Arial"/>
          <w:sz w:val="22"/>
          <w:szCs w:val="22"/>
        </w:rPr>
        <w:t xml:space="preserve"> Que de conformidad con el numeral 3 del artículo 39 de la Ley Orgánica del Congreso General de los Estados Unidos Mexicanos, en relación con el 34 de la Ley Orgánica de la Administración Pública Federal, la Comisión de Economía es competente para conocer sobre la iniciativa mencionada en el exordio del presente dictamen.</w:t>
      </w:r>
    </w:p>
    <w:p w:rsidR="005943F2" w:rsidRPr="00A43533" w:rsidRDefault="005943F2" w:rsidP="005943F2">
      <w:pPr>
        <w:pStyle w:val="NormalWeb"/>
        <w:rPr>
          <w:rFonts w:ascii="Arial" w:hAnsi="Arial" w:cs="Arial"/>
          <w:sz w:val="22"/>
          <w:szCs w:val="22"/>
        </w:rPr>
      </w:pPr>
      <w:r w:rsidRPr="00A43533">
        <w:rPr>
          <w:rStyle w:val="negritas"/>
          <w:rFonts w:ascii="Arial" w:hAnsi="Arial" w:cs="Arial"/>
          <w:sz w:val="22"/>
          <w:szCs w:val="22"/>
        </w:rPr>
        <w:t>Segunda.</w:t>
      </w:r>
      <w:r w:rsidRPr="00A43533">
        <w:rPr>
          <w:rFonts w:ascii="Arial" w:hAnsi="Arial" w:cs="Arial"/>
          <w:sz w:val="22"/>
          <w:szCs w:val="22"/>
        </w:rPr>
        <w:t xml:space="preserve"> Los integrantes de la Comisión de Economía comparten las preocupaciones de los senadores proponentes en el sentido de que las prácticas </w:t>
      </w:r>
      <w:proofErr w:type="spellStart"/>
      <w:r w:rsidRPr="00A43533">
        <w:rPr>
          <w:rFonts w:ascii="Arial" w:hAnsi="Arial" w:cs="Arial"/>
          <w:sz w:val="22"/>
          <w:szCs w:val="22"/>
        </w:rPr>
        <w:t>monopsónicas</w:t>
      </w:r>
      <w:proofErr w:type="spellEnd"/>
      <w:r w:rsidRPr="00A43533">
        <w:rPr>
          <w:rFonts w:ascii="Arial" w:hAnsi="Arial" w:cs="Arial"/>
          <w:sz w:val="22"/>
          <w:szCs w:val="22"/>
        </w:rPr>
        <w:t xml:space="preserve"> tienen efectos perjudiciales en la economía, causando una pérdida general de riqueza y de bienestar de la población. Sin embargo, consideran que la actual LFCE ya contiene regulación para dicha situación.</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1. En efecto, debe decirse, compartiendo las ideas de los proponentes, que el artículo 28 constitucional, al prohibir los monopolios y las prácticas monopólicas, se está refiriendo en general a proteger el proceso de competencia y libre concurrencia en la economía, lo que –como bien se infiere de la exposición de motivos de la iniciativa que nos ocupa– abarca los elementos económicos de oferta y de demanda.</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Por su parte, el artículo 2 de la LFCE expresa que su objeto es proteger el proceso de competencia y libre concurrencia, mediante la prevención y eliminación de monopolios, prácticas monopólicas y demás restricciones al funcionamiento eficiente de los mercados de bienes y servicios.</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Así, al aceptar que del texto constitucional se desprende la protección del funcionamiento eficiente de los mercados, incluyendo ambos aspectos de la relación económica, entonces es obvio que al menos en cuanto a la descripción conceptual que se hace en el artículo 2 referido respecto al objeto de la ley de competencia, las prácticas anticompetitivas se consideran tanto desde el lado de la demanda como del de la oferta.</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 xml:space="preserve">2. Ahora bien, es cierto que la legislación vigente no contiene el precepto expreso de </w:t>
      </w:r>
      <w:r w:rsidRPr="00A43533">
        <w:rPr>
          <w:rStyle w:val="italicas"/>
          <w:rFonts w:ascii="Arial" w:hAnsi="Arial" w:cs="Arial"/>
          <w:sz w:val="22"/>
          <w:szCs w:val="22"/>
        </w:rPr>
        <w:t>monopsonio,</w:t>
      </w:r>
      <w:r w:rsidRPr="00A43533">
        <w:rPr>
          <w:rFonts w:ascii="Arial" w:hAnsi="Arial" w:cs="Arial"/>
          <w:sz w:val="22"/>
          <w:szCs w:val="22"/>
        </w:rPr>
        <w:t xml:space="preserve"> pero ello no quiere decir que la arquitectura de dicho marco no considere o sancione este tipo de prácticas. En otras palabras: es falso que la ley actual no considere los monopsonios como ilegales.</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Lo anterior obedece a que tanto en el artículo 9 de la ley de competencia, que regula las prácticas monopólicas absolutas, como en el 10, que regula las prácticas monopólicas relativas, se toma en cuenta el elemento de la demanda.</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En efecto, el artículo 9 de la Ley Federal de Competencia Económica a la letra reza:</w:t>
      </w:r>
    </w:p>
    <w:p w:rsidR="005943F2" w:rsidRPr="00A43533" w:rsidRDefault="005943F2" w:rsidP="005943F2">
      <w:pPr>
        <w:pStyle w:val="sangria"/>
        <w:rPr>
          <w:rFonts w:ascii="Arial" w:hAnsi="Arial" w:cs="Arial"/>
          <w:sz w:val="22"/>
          <w:szCs w:val="22"/>
        </w:rPr>
      </w:pPr>
      <w:r w:rsidRPr="00A43533">
        <w:rPr>
          <w:rStyle w:val="negritas"/>
          <w:rFonts w:ascii="Arial" w:hAnsi="Arial" w:cs="Arial"/>
          <w:sz w:val="22"/>
          <w:szCs w:val="22"/>
        </w:rPr>
        <w:t>Artículo 9o.</w:t>
      </w:r>
      <w:r w:rsidRPr="00A43533">
        <w:rPr>
          <w:rFonts w:ascii="Arial" w:hAnsi="Arial" w:cs="Arial"/>
          <w:sz w:val="22"/>
          <w:szCs w:val="22"/>
        </w:rPr>
        <w:t xml:space="preserve"> Son prácticas monopólicas absolutas los contratos, convenios, arreglos o combinaciones entre agentes económicos competidores entre sí cuyo objeto o efecto sea cualquiera de los siguientes:</w:t>
      </w:r>
    </w:p>
    <w:p w:rsidR="005943F2" w:rsidRPr="00A43533" w:rsidRDefault="005943F2" w:rsidP="005943F2">
      <w:pPr>
        <w:pStyle w:val="sangria"/>
        <w:rPr>
          <w:rFonts w:ascii="Arial" w:hAnsi="Arial" w:cs="Arial"/>
          <w:sz w:val="22"/>
          <w:szCs w:val="22"/>
        </w:rPr>
      </w:pPr>
      <w:r w:rsidRPr="00A43533">
        <w:rPr>
          <w:rFonts w:ascii="Arial" w:hAnsi="Arial" w:cs="Arial"/>
          <w:sz w:val="22"/>
          <w:szCs w:val="22"/>
        </w:rPr>
        <w:lastRenderedPageBreak/>
        <w:t xml:space="preserve">I. </w:t>
      </w:r>
      <w:r w:rsidRPr="00A43533">
        <w:rPr>
          <w:rStyle w:val="negritas"/>
          <w:rFonts w:ascii="Arial" w:hAnsi="Arial" w:cs="Arial"/>
          <w:sz w:val="22"/>
          <w:szCs w:val="22"/>
        </w:rPr>
        <w:t>Fijar, elevar, concertar o manipular el precio de</w:t>
      </w:r>
      <w:r w:rsidRPr="00A43533">
        <w:rPr>
          <w:rFonts w:ascii="Arial" w:hAnsi="Arial" w:cs="Arial"/>
          <w:sz w:val="22"/>
          <w:szCs w:val="22"/>
        </w:rPr>
        <w:t xml:space="preserve"> venta </w:t>
      </w:r>
      <w:r w:rsidRPr="00A43533">
        <w:rPr>
          <w:rStyle w:val="negritas"/>
          <w:rFonts w:ascii="Arial" w:hAnsi="Arial" w:cs="Arial"/>
          <w:sz w:val="22"/>
          <w:szCs w:val="22"/>
        </w:rPr>
        <w:t>o compra</w:t>
      </w:r>
      <w:r w:rsidRPr="00A43533">
        <w:rPr>
          <w:rFonts w:ascii="Arial" w:hAnsi="Arial" w:cs="Arial"/>
          <w:sz w:val="22"/>
          <w:szCs w:val="22"/>
        </w:rPr>
        <w:t xml:space="preserve"> de bienes o servicios </w:t>
      </w:r>
      <w:r w:rsidRPr="00A43533">
        <w:rPr>
          <w:rStyle w:val="negritas"/>
          <w:rFonts w:ascii="Arial" w:hAnsi="Arial" w:cs="Arial"/>
          <w:sz w:val="22"/>
          <w:szCs w:val="22"/>
        </w:rPr>
        <w:t>al que son</w:t>
      </w:r>
      <w:r w:rsidRPr="00A43533">
        <w:rPr>
          <w:rFonts w:ascii="Arial" w:hAnsi="Arial" w:cs="Arial"/>
          <w:sz w:val="22"/>
          <w:szCs w:val="22"/>
        </w:rPr>
        <w:t xml:space="preserve"> ofrecidos o </w:t>
      </w:r>
      <w:r w:rsidRPr="00A43533">
        <w:rPr>
          <w:rStyle w:val="negritas"/>
          <w:rFonts w:ascii="Arial" w:hAnsi="Arial" w:cs="Arial"/>
          <w:sz w:val="22"/>
          <w:szCs w:val="22"/>
        </w:rPr>
        <w:t>demandados en los mercados,</w:t>
      </w:r>
      <w:r w:rsidRPr="00A43533">
        <w:rPr>
          <w:rFonts w:ascii="Arial" w:hAnsi="Arial" w:cs="Arial"/>
          <w:sz w:val="22"/>
          <w:szCs w:val="22"/>
        </w:rPr>
        <w:t xml:space="preserve"> o intercambiar información con el mismo objeto o efecto...</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Asimismo, las fracciones II y X del artículo 10 del mismo cuerpo legal señalan:</w:t>
      </w:r>
    </w:p>
    <w:p w:rsidR="005943F2" w:rsidRPr="00A43533" w:rsidRDefault="005943F2" w:rsidP="005943F2">
      <w:pPr>
        <w:pStyle w:val="sangria"/>
        <w:rPr>
          <w:rFonts w:ascii="Arial" w:hAnsi="Arial" w:cs="Arial"/>
          <w:sz w:val="22"/>
          <w:szCs w:val="22"/>
        </w:rPr>
      </w:pPr>
      <w:r w:rsidRPr="00A43533">
        <w:rPr>
          <w:rStyle w:val="negritas"/>
          <w:rFonts w:ascii="Arial" w:hAnsi="Arial" w:cs="Arial"/>
          <w:sz w:val="22"/>
          <w:szCs w:val="22"/>
        </w:rPr>
        <w:t>Artículo 10.</w:t>
      </w:r>
      <w:r w:rsidRPr="00A43533">
        <w:rPr>
          <w:rFonts w:ascii="Arial" w:hAnsi="Arial" w:cs="Arial"/>
          <w:sz w:val="22"/>
          <w:szCs w:val="22"/>
        </w:rPr>
        <w:t xml:space="preserve"> Sujeto a que se comprueben los supuestos a que se refieren los artículos 11, 12 y 13 de esta ley, se consideran prácticas monopólicas relativas los actos, contratos, convenios, procedimientos o combinaciones cuyo objeto o efecto sea o pueda ser desplazar indebidamente a otros agentes del mercado, impedirles sustancialmente su acceso o establecer ventajas exclusivas en favor de una o varias personas, en los siguientes casos:</w:t>
      </w:r>
    </w:p>
    <w:p w:rsidR="005943F2" w:rsidRPr="00A43533" w:rsidRDefault="005943F2" w:rsidP="005943F2">
      <w:pPr>
        <w:pStyle w:val="sangria"/>
        <w:rPr>
          <w:rFonts w:ascii="Arial" w:hAnsi="Arial" w:cs="Arial"/>
          <w:sz w:val="22"/>
          <w:szCs w:val="22"/>
        </w:rPr>
      </w:pPr>
      <w:r w:rsidRPr="00A43533">
        <w:rPr>
          <w:rStyle w:val="negritas"/>
          <w:rFonts w:ascii="Arial" w:hAnsi="Arial" w:cs="Arial"/>
          <w:sz w:val="22"/>
          <w:szCs w:val="22"/>
        </w:rPr>
        <w:t>... II. La imposición del precio o demás condiciones que un distribuidor o proveedor deba observar al comercializar o distribuir bienes o prestar servicios...</w:t>
      </w:r>
      <w:r w:rsidRPr="00A43533">
        <w:rPr>
          <w:rFonts w:ascii="Arial" w:hAnsi="Arial" w:cs="Arial"/>
          <w:sz w:val="22"/>
          <w:szCs w:val="22"/>
        </w:rPr>
        <w:t xml:space="preserve"> </w:t>
      </w:r>
    </w:p>
    <w:p w:rsidR="005943F2" w:rsidRPr="00A43533" w:rsidRDefault="005943F2" w:rsidP="005943F2">
      <w:pPr>
        <w:pStyle w:val="sangria"/>
        <w:rPr>
          <w:rFonts w:ascii="Arial" w:hAnsi="Arial" w:cs="Arial"/>
          <w:sz w:val="22"/>
          <w:szCs w:val="22"/>
        </w:rPr>
      </w:pPr>
      <w:r w:rsidRPr="00A43533">
        <w:rPr>
          <w:rFonts w:ascii="Arial" w:hAnsi="Arial" w:cs="Arial"/>
          <w:sz w:val="22"/>
          <w:szCs w:val="22"/>
        </w:rPr>
        <w:t xml:space="preserve">... X. El </w:t>
      </w:r>
      <w:r w:rsidRPr="00A43533">
        <w:rPr>
          <w:rStyle w:val="negritas"/>
          <w:rFonts w:ascii="Arial" w:hAnsi="Arial" w:cs="Arial"/>
          <w:sz w:val="22"/>
          <w:szCs w:val="22"/>
        </w:rPr>
        <w:t>establecimiento de distintos precios o condiciones de</w:t>
      </w:r>
      <w:r w:rsidRPr="00A43533">
        <w:rPr>
          <w:rFonts w:ascii="Arial" w:hAnsi="Arial" w:cs="Arial"/>
          <w:sz w:val="22"/>
          <w:szCs w:val="22"/>
        </w:rPr>
        <w:t xml:space="preserve"> venta o </w:t>
      </w:r>
      <w:r w:rsidRPr="00A43533">
        <w:rPr>
          <w:rStyle w:val="negritas"/>
          <w:rFonts w:ascii="Arial" w:hAnsi="Arial" w:cs="Arial"/>
          <w:sz w:val="22"/>
          <w:szCs w:val="22"/>
        </w:rPr>
        <w:t>compra</w:t>
      </w:r>
      <w:r w:rsidRPr="00A43533">
        <w:rPr>
          <w:rFonts w:ascii="Arial" w:hAnsi="Arial" w:cs="Arial"/>
          <w:sz w:val="22"/>
          <w:szCs w:val="22"/>
        </w:rPr>
        <w:t xml:space="preserve"> para diferentes compradores o vendedores situados en igualdad de condiciones, y...</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 xml:space="preserve">Incluso, el numeral a), fracción III, del artículo 28 de la ley vigente en cita dispone en que el informe anual sobre el desempeño de la Comisión Federal de Competencia debe incluir los resultados obtenidos en las investigaciones efectuadas sobre prácticas monopólicas absolutas y relativas, tanto de </w:t>
      </w:r>
      <w:r w:rsidRPr="00A43533">
        <w:rPr>
          <w:rStyle w:val="negritas"/>
          <w:rFonts w:ascii="Arial" w:hAnsi="Arial" w:cs="Arial"/>
          <w:sz w:val="22"/>
          <w:szCs w:val="22"/>
        </w:rPr>
        <w:t xml:space="preserve">“compras </w:t>
      </w:r>
      <w:r w:rsidRPr="00A43533">
        <w:rPr>
          <w:rFonts w:ascii="Arial" w:hAnsi="Arial" w:cs="Arial"/>
          <w:sz w:val="22"/>
          <w:szCs w:val="22"/>
        </w:rPr>
        <w:t>como de ventas”.</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 xml:space="preserve">De lo anterior se concluye que la LFCE ya regula los conceptos </w:t>
      </w:r>
      <w:r w:rsidRPr="00A43533">
        <w:rPr>
          <w:rStyle w:val="italicas"/>
          <w:rFonts w:ascii="Arial" w:hAnsi="Arial" w:cs="Arial"/>
          <w:sz w:val="22"/>
          <w:szCs w:val="22"/>
        </w:rPr>
        <w:t>monopsonios</w:t>
      </w:r>
      <w:r w:rsidRPr="00A43533">
        <w:rPr>
          <w:rFonts w:ascii="Arial" w:hAnsi="Arial" w:cs="Arial"/>
          <w:sz w:val="22"/>
          <w:szCs w:val="22"/>
        </w:rPr>
        <w:t xml:space="preserve"> y </w:t>
      </w:r>
      <w:r w:rsidRPr="00A43533">
        <w:rPr>
          <w:rStyle w:val="italicas"/>
          <w:rFonts w:ascii="Arial" w:hAnsi="Arial" w:cs="Arial"/>
          <w:sz w:val="22"/>
          <w:szCs w:val="22"/>
        </w:rPr>
        <w:t xml:space="preserve">prácticas </w:t>
      </w:r>
      <w:proofErr w:type="spellStart"/>
      <w:r w:rsidRPr="00A43533">
        <w:rPr>
          <w:rStyle w:val="italicas"/>
          <w:rFonts w:ascii="Arial" w:hAnsi="Arial" w:cs="Arial"/>
          <w:sz w:val="22"/>
          <w:szCs w:val="22"/>
        </w:rPr>
        <w:t>monopsónicas</w:t>
      </w:r>
      <w:proofErr w:type="spellEnd"/>
      <w:r w:rsidRPr="00A43533">
        <w:rPr>
          <w:rStyle w:val="italicas"/>
          <w:rFonts w:ascii="Arial" w:hAnsi="Arial" w:cs="Arial"/>
          <w:sz w:val="22"/>
          <w:szCs w:val="22"/>
        </w:rPr>
        <w:t>,</w:t>
      </w:r>
      <w:r w:rsidRPr="00A43533">
        <w:rPr>
          <w:rFonts w:ascii="Arial" w:hAnsi="Arial" w:cs="Arial"/>
          <w:sz w:val="22"/>
          <w:szCs w:val="22"/>
        </w:rPr>
        <w:t xml:space="preserve"> y que entre éstas considera la de imponer “condiciones” al vendedor como ilegal (sujeta a que se acrediten los supuestos de los artículos 11, 12 y 13 de la LFCE); y debe decirse que dado que la ley vigente menciona la palabra </w:t>
      </w:r>
      <w:r w:rsidRPr="00A43533">
        <w:rPr>
          <w:rStyle w:val="italicas"/>
          <w:rFonts w:ascii="Arial" w:hAnsi="Arial" w:cs="Arial"/>
          <w:sz w:val="22"/>
          <w:szCs w:val="22"/>
        </w:rPr>
        <w:t>condiciones</w:t>
      </w:r>
      <w:r w:rsidRPr="00A43533">
        <w:rPr>
          <w:rFonts w:ascii="Arial" w:hAnsi="Arial" w:cs="Arial"/>
          <w:sz w:val="22"/>
          <w:szCs w:val="22"/>
        </w:rPr>
        <w:t xml:space="preserve"> sin hacer distinción de cuáles son éstas, su campo de protección es más amplio que el que se propone en la iniciativa que se dictamina.</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 xml:space="preserve">Asimismo, dada la arquitectura de la ley de competencia, las prácticas relativas están sujetas a evaluar las ganancias en eficiencia derivadas de la conducta del agente económico para determinar su </w:t>
      </w:r>
      <w:proofErr w:type="spellStart"/>
      <w:r w:rsidRPr="00A43533">
        <w:rPr>
          <w:rFonts w:ascii="Arial" w:hAnsi="Arial" w:cs="Arial"/>
          <w:sz w:val="22"/>
          <w:szCs w:val="22"/>
        </w:rPr>
        <w:t>sancionabilidad</w:t>
      </w:r>
      <w:proofErr w:type="spellEnd"/>
      <w:r w:rsidRPr="00A43533">
        <w:rPr>
          <w:rFonts w:ascii="Arial" w:hAnsi="Arial" w:cs="Arial"/>
          <w:sz w:val="22"/>
          <w:szCs w:val="22"/>
        </w:rPr>
        <w:t>, incluyendo las que hacen referencia al aspecto de la demanda, así como a determinar si se tiene poder sustancial en el mercado relevante.</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En otras palabras, las propuestas que se contienen en la iniciativa ya se encuentran en la actual LFCE.</w:t>
      </w:r>
    </w:p>
    <w:p w:rsidR="005943F2" w:rsidRPr="00A43533" w:rsidRDefault="005943F2" w:rsidP="005943F2">
      <w:pPr>
        <w:pStyle w:val="NormalWeb"/>
        <w:rPr>
          <w:rFonts w:ascii="Arial" w:hAnsi="Arial" w:cs="Arial"/>
          <w:sz w:val="22"/>
          <w:szCs w:val="22"/>
        </w:rPr>
      </w:pPr>
      <w:r w:rsidRPr="00A43533">
        <w:rPr>
          <w:rFonts w:ascii="Arial" w:hAnsi="Arial" w:cs="Arial"/>
          <w:sz w:val="22"/>
          <w:szCs w:val="22"/>
        </w:rPr>
        <w:t>3. Por otra parte, no se puede compartir que se pretenda exceptuar al Estado de ser sancionado por realizar prácticas ilegales utilizando su poder de compra, pues la Comisión de Economía ha sostenido de manera reiterada</w:t>
      </w:r>
      <w:r w:rsidRPr="00A43533">
        <w:rPr>
          <w:rStyle w:val="superscript"/>
          <w:rFonts w:ascii="Arial" w:hAnsi="Arial" w:cs="Arial"/>
          <w:sz w:val="15"/>
          <w:szCs w:val="15"/>
        </w:rPr>
        <w:t>1</w:t>
      </w:r>
      <w:r w:rsidRPr="00A43533">
        <w:rPr>
          <w:rFonts w:ascii="Arial" w:hAnsi="Arial" w:cs="Arial"/>
          <w:sz w:val="22"/>
          <w:szCs w:val="22"/>
        </w:rPr>
        <w:t xml:space="preserve"> que la LFCE fue concebida para ser aplicada en toda la actividad económica, ya que se reconoce que cualquier persona, física o moral, que pueda tener injerencia en el mercado, con o sin fines de lucro, que realice funciones de orden e interés público o realice actividades entre particulares, </w:t>
      </w:r>
      <w:r w:rsidRPr="00A43533">
        <w:rPr>
          <w:rStyle w:val="negritas"/>
          <w:rFonts w:ascii="Arial" w:hAnsi="Arial" w:cs="Arial"/>
          <w:sz w:val="22"/>
          <w:szCs w:val="22"/>
        </w:rPr>
        <w:t xml:space="preserve">incluyendo las dependencias y los organismos que tienen a su cargo las funciones que el Estado ejerce en las áreas estratégicas enunciadas en el artículo 28 constitucional, por lo que respecta a los actos que no están expresamente señalados en los supuestos del referido precepto –monopolios </w:t>
      </w:r>
      <w:r w:rsidRPr="00A43533">
        <w:rPr>
          <w:rStyle w:val="negritas"/>
          <w:rFonts w:ascii="Arial" w:hAnsi="Arial" w:cs="Arial"/>
          <w:sz w:val="22"/>
          <w:szCs w:val="22"/>
        </w:rPr>
        <w:lastRenderedPageBreak/>
        <w:t>constitucionales–,</w:t>
      </w:r>
      <w:r w:rsidRPr="00A43533">
        <w:rPr>
          <w:rFonts w:ascii="Arial" w:hAnsi="Arial" w:cs="Arial"/>
          <w:sz w:val="22"/>
          <w:szCs w:val="22"/>
        </w:rPr>
        <w:t>deben ser considerados agentes económicos para los efectos de la referida ley, pues de otra forma se abriría la posibilidad a que entes que tienen participación en los mercados realicen prácticas que lo distorsionen en perjuicio de su funcionamiento eficiente, con un alto costo para el consumidor, lo que es menester evitar a toda costa.</w:t>
      </w:r>
    </w:p>
    <w:p w:rsidR="005943F2" w:rsidRPr="00A43533" w:rsidRDefault="005943F2" w:rsidP="005943F2">
      <w:pPr>
        <w:pStyle w:val="NormalWeb"/>
        <w:rPr>
          <w:rFonts w:ascii="Arial" w:hAnsi="Arial" w:cs="Arial"/>
          <w:sz w:val="22"/>
          <w:szCs w:val="22"/>
        </w:rPr>
      </w:pPr>
      <w:r w:rsidRPr="00A43533">
        <w:rPr>
          <w:rStyle w:val="negritas"/>
          <w:rFonts w:ascii="Arial" w:hAnsi="Arial" w:cs="Arial"/>
          <w:sz w:val="22"/>
          <w:szCs w:val="22"/>
        </w:rPr>
        <w:t>Tercera.</w:t>
      </w:r>
      <w:r w:rsidRPr="00A43533">
        <w:rPr>
          <w:rFonts w:ascii="Arial" w:hAnsi="Arial" w:cs="Arial"/>
          <w:sz w:val="22"/>
          <w:szCs w:val="22"/>
        </w:rPr>
        <w:t xml:space="preserve"> En virtud de lo expuesto, la Comisión de Economía somete a consideración del pleno de esta asamblea los siguientes</w:t>
      </w:r>
    </w:p>
    <w:p w:rsidR="005943F2" w:rsidRPr="00A43533" w:rsidRDefault="005943F2" w:rsidP="005943F2">
      <w:pPr>
        <w:pStyle w:val="centrar"/>
        <w:rPr>
          <w:rFonts w:ascii="Arial" w:hAnsi="Arial" w:cs="Arial"/>
          <w:sz w:val="22"/>
          <w:szCs w:val="22"/>
        </w:rPr>
      </w:pPr>
      <w:r w:rsidRPr="00A43533">
        <w:rPr>
          <w:rFonts w:ascii="Arial" w:hAnsi="Arial" w:cs="Arial"/>
          <w:sz w:val="22"/>
          <w:szCs w:val="22"/>
        </w:rPr>
        <w:t>Acuerdos</w:t>
      </w:r>
    </w:p>
    <w:p w:rsidR="005943F2" w:rsidRPr="00A43533" w:rsidRDefault="005943F2" w:rsidP="005943F2">
      <w:pPr>
        <w:pStyle w:val="NormalWeb"/>
        <w:rPr>
          <w:rFonts w:ascii="Arial" w:hAnsi="Arial" w:cs="Arial"/>
          <w:sz w:val="22"/>
          <w:szCs w:val="22"/>
        </w:rPr>
      </w:pPr>
      <w:r w:rsidRPr="00A43533">
        <w:rPr>
          <w:rStyle w:val="negritas"/>
          <w:rFonts w:ascii="Arial" w:hAnsi="Arial" w:cs="Arial"/>
          <w:sz w:val="22"/>
          <w:szCs w:val="22"/>
        </w:rPr>
        <w:t>Primero.</w:t>
      </w:r>
      <w:r w:rsidRPr="00A43533">
        <w:rPr>
          <w:rFonts w:ascii="Arial" w:hAnsi="Arial" w:cs="Arial"/>
          <w:sz w:val="22"/>
          <w:szCs w:val="22"/>
        </w:rPr>
        <w:t xml:space="preserve"> Se desecha la iniciativa que reforma y adiciona diversas disposiciones de la Ley Federal de Competencia Económica, suscrita por los senadores Minerva Hernández Ramos, René Arce, Guillermo Enrique </w:t>
      </w:r>
      <w:proofErr w:type="spellStart"/>
      <w:r w:rsidRPr="00A43533">
        <w:rPr>
          <w:rFonts w:ascii="Arial" w:hAnsi="Arial" w:cs="Arial"/>
          <w:sz w:val="22"/>
          <w:szCs w:val="22"/>
        </w:rPr>
        <w:t>Tamborrel</w:t>
      </w:r>
      <w:proofErr w:type="spellEnd"/>
      <w:r w:rsidRPr="00A43533">
        <w:rPr>
          <w:rFonts w:ascii="Arial" w:hAnsi="Arial" w:cs="Arial"/>
          <w:sz w:val="22"/>
          <w:szCs w:val="22"/>
        </w:rPr>
        <w:t xml:space="preserve"> Suárez y Francisco Arroyo </w:t>
      </w:r>
      <w:proofErr w:type="spellStart"/>
      <w:r w:rsidRPr="00A43533">
        <w:rPr>
          <w:rFonts w:ascii="Arial" w:hAnsi="Arial" w:cs="Arial"/>
          <w:sz w:val="22"/>
          <w:szCs w:val="22"/>
        </w:rPr>
        <w:t>Vieyra</w:t>
      </w:r>
      <w:proofErr w:type="spellEnd"/>
      <w:r w:rsidRPr="00A43533">
        <w:rPr>
          <w:rFonts w:ascii="Arial" w:hAnsi="Arial" w:cs="Arial"/>
          <w:sz w:val="22"/>
          <w:szCs w:val="22"/>
        </w:rPr>
        <w:t>, de los Grupos Parlamentarios de los Partidos de la Revolución Democrática, Acción Nacional y Revolucionario Institucional, el 12 de abril de 2011.</w:t>
      </w:r>
    </w:p>
    <w:p w:rsidR="005943F2" w:rsidRPr="00A43533" w:rsidRDefault="005943F2" w:rsidP="005943F2">
      <w:pPr>
        <w:pStyle w:val="NormalWeb"/>
        <w:rPr>
          <w:rFonts w:ascii="Arial" w:hAnsi="Arial" w:cs="Arial"/>
          <w:sz w:val="22"/>
          <w:szCs w:val="22"/>
        </w:rPr>
      </w:pPr>
      <w:r w:rsidRPr="00A43533">
        <w:rPr>
          <w:rStyle w:val="negritas"/>
          <w:rFonts w:ascii="Arial" w:hAnsi="Arial" w:cs="Arial"/>
          <w:sz w:val="22"/>
          <w:szCs w:val="22"/>
        </w:rPr>
        <w:t>Segundo.</w:t>
      </w:r>
      <w:r w:rsidRPr="00A43533">
        <w:rPr>
          <w:rFonts w:ascii="Arial" w:hAnsi="Arial" w:cs="Arial"/>
          <w:sz w:val="22"/>
          <w:szCs w:val="22"/>
        </w:rPr>
        <w:t xml:space="preserve"> Archívese el presente asunto como total y definitivamente concluido.</w:t>
      </w:r>
    </w:p>
    <w:p w:rsidR="005943F2" w:rsidRPr="00A43533" w:rsidRDefault="005943F2" w:rsidP="005943F2">
      <w:pPr>
        <w:pStyle w:val="firmas"/>
        <w:rPr>
          <w:rFonts w:ascii="Arial" w:hAnsi="Arial" w:cs="Arial"/>
        </w:rPr>
      </w:pPr>
      <w:r w:rsidRPr="00A43533">
        <w:rPr>
          <w:rStyle w:val="negritas"/>
          <w:rFonts w:ascii="Arial" w:hAnsi="Arial" w:cs="Arial"/>
        </w:rPr>
        <w:t>Nota</w:t>
      </w:r>
      <w:r w:rsidRPr="00A43533">
        <w:rPr>
          <w:rFonts w:ascii="Arial" w:hAnsi="Arial" w:cs="Arial"/>
        </w:rPr>
        <w:t xml:space="preserve"> </w:t>
      </w:r>
    </w:p>
    <w:p w:rsidR="005943F2" w:rsidRPr="00A43533" w:rsidRDefault="005943F2" w:rsidP="005943F2">
      <w:pPr>
        <w:pStyle w:val="firmas"/>
        <w:rPr>
          <w:rFonts w:ascii="Arial" w:hAnsi="Arial" w:cs="Arial"/>
        </w:rPr>
      </w:pPr>
      <w:r w:rsidRPr="00A43533">
        <w:rPr>
          <w:rFonts w:ascii="Arial" w:hAnsi="Arial" w:cs="Arial"/>
        </w:rPr>
        <w:t>1 CEI 57-2009, CEI 17-2010 y CEM 16-2011.</w:t>
      </w:r>
    </w:p>
    <w:p w:rsidR="005943F2" w:rsidRPr="00A43533" w:rsidRDefault="005943F2" w:rsidP="005943F2">
      <w:pPr>
        <w:pStyle w:val="derecha"/>
        <w:rPr>
          <w:rFonts w:ascii="Arial" w:hAnsi="Arial" w:cs="Arial"/>
          <w:sz w:val="22"/>
          <w:szCs w:val="22"/>
        </w:rPr>
      </w:pPr>
      <w:r w:rsidRPr="00A43533">
        <w:rPr>
          <w:rFonts w:ascii="Arial" w:hAnsi="Arial" w:cs="Arial"/>
          <w:sz w:val="22"/>
          <w:szCs w:val="22"/>
        </w:rPr>
        <w:t>Dado en el Palacio Legislativo de San Lázaro, a 8 de junio de 2011.</w:t>
      </w:r>
    </w:p>
    <w:p w:rsidR="005943F2" w:rsidRPr="00A43533" w:rsidRDefault="005943F2" w:rsidP="005943F2">
      <w:pPr>
        <w:pStyle w:val="firmas"/>
        <w:rPr>
          <w:rFonts w:ascii="Arial" w:hAnsi="Arial" w:cs="Arial"/>
        </w:rPr>
      </w:pPr>
      <w:r w:rsidRPr="00A43533">
        <w:rPr>
          <w:rStyle w:val="negritas"/>
          <w:rFonts w:ascii="Arial" w:hAnsi="Arial" w:cs="Arial"/>
        </w:rPr>
        <w:t>La Comisión de Economía</w:t>
      </w:r>
      <w:r w:rsidRPr="00A43533">
        <w:rPr>
          <w:rFonts w:ascii="Arial" w:hAnsi="Arial" w:cs="Arial"/>
        </w:rPr>
        <w:t xml:space="preserve"> </w:t>
      </w:r>
    </w:p>
    <w:p w:rsidR="005943F2" w:rsidRPr="00A43533" w:rsidRDefault="005943F2" w:rsidP="005943F2">
      <w:pPr>
        <w:pStyle w:val="firmas"/>
        <w:rPr>
          <w:rFonts w:ascii="Arial" w:hAnsi="Arial" w:cs="Arial"/>
        </w:rPr>
      </w:pPr>
      <w:r w:rsidRPr="00A43533">
        <w:rPr>
          <w:rStyle w:val="negritas"/>
          <w:rFonts w:ascii="Arial" w:hAnsi="Arial" w:cs="Arial"/>
        </w:rPr>
        <w:t>Diputados:</w:t>
      </w:r>
      <w:r w:rsidRPr="00A43533">
        <w:rPr>
          <w:rFonts w:ascii="Arial" w:hAnsi="Arial" w:cs="Arial"/>
        </w:rPr>
        <w:t xml:space="preserve"> Ildefonso Guajardo Villarreal (rúbrica), presidente; Alejandro Cano </w:t>
      </w:r>
      <w:proofErr w:type="spellStart"/>
      <w:r w:rsidRPr="00A43533">
        <w:rPr>
          <w:rFonts w:ascii="Arial" w:hAnsi="Arial" w:cs="Arial"/>
        </w:rPr>
        <w:t>Ricaud</w:t>
      </w:r>
      <w:proofErr w:type="spellEnd"/>
      <w:r w:rsidRPr="00A43533">
        <w:rPr>
          <w:rFonts w:ascii="Arial" w:hAnsi="Arial" w:cs="Arial"/>
        </w:rPr>
        <w:t xml:space="preserve"> (rúbrica), Jorge Alberto </w:t>
      </w:r>
      <w:proofErr w:type="spellStart"/>
      <w:r w:rsidRPr="00A43533">
        <w:rPr>
          <w:rFonts w:ascii="Arial" w:hAnsi="Arial" w:cs="Arial"/>
        </w:rPr>
        <w:t>Juraidini</w:t>
      </w:r>
      <w:proofErr w:type="spellEnd"/>
      <w:r w:rsidRPr="00A43533">
        <w:rPr>
          <w:rFonts w:ascii="Arial" w:hAnsi="Arial" w:cs="Arial"/>
        </w:rPr>
        <w:t xml:space="preserve"> </w:t>
      </w:r>
      <w:proofErr w:type="spellStart"/>
      <w:r w:rsidRPr="00A43533">
        <w:rPr>
          <w:rFonts w:ascii="Arial" w:hAnsi="Arial" w:cs="Arial"/>
        </w:rPr>
        <w:t>Rumilla</w:t>
      </w:r>
      <w:proofErr w:type="spellEnd"/>
      <w:r w:rsidRPr="00A43533">
        <w:rPr>
          <w:rFonts w:ascii="Arial" w:hAnsi="Arial" w:cs="Arial"/>
        </w:rPr>
        <w:t xml:space="preserve">, </w:t>
      </w:r>
      <w:proofErr w:type="spellStart"/>
      <w:r w:rsidRPr="00A43533">
        <w:rPr>
          <w:rFonts w:ascii="Arial" w:hAnsi="Arial" w:cs="Arial"/>
        </w:rPr>
        <w:t>Narcedalia</w:t>
      </w:r>
      <w:proofErr w:type="spellEnd"/>
      <w:r w:rsidRPr="00A43533">
        <w:rPr>
          <w:rFonts w:ascii="Arial" w:hAnsi="Arial" w:cs="Arial"/>
        </w:rPr>
        <w:t xml:space="preserve"> Ramírez Pineda (rúbrica), Melchor Sánchez de la Fuente, José Luis Velasco Lino (rúbrica), Leoncio Alfonso Morán Sánchez (rúbrica), María Antonieta Pérez Reyes, Norma Sánchez Romero (rúbrica), Indira Vizcaíno Silva, Rodrigo Pérez-Alonso González (rúbrica), Jorge Antonio </w:t>
      </w:r>
      <w:proofErr w:type="spellStart"/>
      <w:r w:rsidRPr="00A43533">
        <w:rPr>
          <w:rFonts w:ascii="Arial" w:hAnsi="Arial" w:cs="Arial"/>
        </w:rPr>
        <w:t>Kahwagi</w:t>
      </w:r>
      <w:proofErr w:type="spellEnd"/>
      <w:r w:rsidRPr="00A43533">
        <w:rPr>
          <w:rFonts w:ascii="Arial" w:hAnsi="Arial" w:cs="Arial"/>
        </w:rPr>
        <w:t xml:space="preserve"> </w:t>
      </w:r>
      <w:proofErr w:type="spellStart"/>
      <w:r w:rsidRPr="00A43533">
        <w:rPr>
          <w:rFonts w:ascii="Arial" w:hAnsi="Arial" w:cs="Arial"/>
        </w:rPr>
        <w:t>Macari</w:t>
      </w:r>
      <w:proofErr w:type="spellEnd"/>
      <w:r w:rsidRPr="00A43533">
        <w:rPr>
          <w:rFonts w:ascii="Arial" w:hAnsi="Arial" w:cs="Arial"/>
        </w:rPr>
        <w:t xml:space="preserve">, secretarios; Manuel Ignacio Acosta Gutiérrez, José Antonio </w:t>
      </w:r>
      <w:proofErr w:type="spellStart"/>
      <w:r w:rsidRPr="00A43533">
        <w:rPr>
          <w:rFonts w:ascii="Arial" w:hAnsi="Arial" w:cs="Arial"/>
        </w:rPr>
        <w:t>Arámbula</w:t>
      </w:r>
      <w:proofErr w:type="spellEnd"/>
      <w:r w:rsidRPr="00A43533">
        <w:rPr>
          <w:rFonts w:ascii="Arial" w:hAnsi="Arial" w:cs="Arial"/>
        </w:rPr>
        <w:t xml:space="preserve"> López (rúbrica), Raúl Gerardo Cuadra García (rúbrica), Pavel Díaz Juárez, Sergio Gama </w:t>
      </w:r>
      <w:proofErr w:type="spellStart"/>
      <w:r w:rsidRPr="00A43533">
        <w:rPr>
          <w:rFonts w:ascii="Arial" w:hAnsi="Arial" w:cs="Arial"/>
        </w:rPr>
        <w:t>Dufour</w:t>
      </w:r>
      <w:proofErr w:type="spellEnd"/>
      <w:r w:rsidRPr="00A43533">
        <w:rPr>
          <w:rFonts w:ascii="Arial" w:hAnsi="Arial" w:cs="Arial"/>
        </w:rPr>
        <w:t xml:space="preserve"> (rúbrica), Jorge Hernández </w:t>
      </w:r>
      <w:proofErr w:type="spellStart"/>
      <w:r w:rsidRPr="00A43533">
        <w:rPr>
          <w:rFonts w:ascii="Arial" w:hAnsi="Arial" w:cs="Arial"/>
        </w:rPr>
        <w:t>Hernández</w:t>
      </w:r>
      <w:proofErr w:type="spellEnd"/>
      <w:r w:rsidRPr="00A43533">
        <w:rPr>
          <w:rFonts w:ascii="Arial" w:hAnsi="Arial" w:cs="Arial"/>
        </w:rPr>
        <w:t xml:space="preserve"> (rúbrica), Susana Hurtado Vallejo (rúbrica), Ramón Jiménez López (rúbrica), Vidal </w:t>
      </w:r>
      <w:proofErr w:type="spellStart"/>
      <w:r w:rsidRPr="00A43533">
        <w:rPr>
          <w:rFonts w:ascii="Arial" w:hAnsi="Arial" w:cs="Arial"/>
        </w:rPr>
        <w:t>Llerenas</w:t>
      </w:r>
      <w:proofErr w:type="spellEnd"/>
      <w:r w:rsidRPr="00A43533">
        <w:rPr>
          <w:rFonts w:ascii="Arial" w:hAnsi="Arial" w:cs="Arial"/>
        </w:rPr>
        <w:t xml:space="preserve"> Morales, Ifigenia Martha Martínez y Hernández (rúbrica en contra), Luis Enrique Mercado Sánchez, María Florentina </w:t>
      </w:r>
      <w:proofErr w:type="spellStart"/>
      <w:r w:rsidRPr="00A43533">
        <w:rPr>
          <w:rFonts w:ascii="Arial" w:hAnsi="Arial" w:cs="Arial"/>
        </w:rPr>
        <w:t>Ocegueda</w:t>
      </w:r>
      <w:proofErr w:type="spellEnd"/>
      <w:r w:rsidRPr="00A43533">
        <w:rPr>
          <w:rFonts w:ascii="Arial" w:hAnsi="Arial" w:cs="Arial"/>
        </w:rPr>
        <w:t xml:space="preserve"> Silva (rúbrica), David </w:t>
      </w:r>
      <w:proofErr w:type="spellStart"/>
      <w:r w:rsidRPr="00A43533">
        <w:rPr>
          <w:rFonts w:ascii="Arial" w:hAnsi="Arial" w:cs="Arial"/>
        </w:rPr>
        <w:t>Penchyna</w:t>
      </w:r>
      <w:proofErr w:type="spellEnd"/>
      <w:r w:rsidRPr="00A43533">
        <w:rPr>
          <w:rFonts w:ascii="Arial" w:hAnsi="Arial" w:cs="Arial"/>
        </w:rPr>
        <w:t xml:space="preserve"> </w:t>
      </w:r>
      <w:proofErr w:type="spellStart"/>
      <w:r w:rsidRPr="00A43533">
        <w:rPr>
          <w:rFonts w:ascii="Arial" w:hAnsi="Arial" w:cs="Arial"/>
        </w:rPr>
        <w:t>Grub</w:t>
      </w:r>
      <w:proofErr w:type="spellEnd"/>
      <w:r w:rsidRPr="00A43533">
        <w:rPr>
          <w:rFonts w:ascii="Arial" w:hAnsi="Arial" w:cs="Arial"/>
        </w:rPr>
        <w:t>, Enrique Salomón Rosas Ramírez, Guillermo Raúl Ruiz de Teresa, David Ricardo Sánchez Guevara, Víctor Roberto Silva Chacón (rúbrica).</w:t>
      </w:r>
    </w:p>
    <w:bookmarkEnd w:id="0"/>
    <w:p w:rsidR="008068BD" w:rsidRPr="00A43533" w:rsidRDefault="00A43533">
      <w:pPr>
        <w:rPr>
          <w:rFonts w:ascii="Arial" w:hAnsi="Arial" w:cs="Arial"/>
        </w:rPr>
      </w:pPr>
    </w:p>
    <w:sectPr w:rsidR="008068BD" w:rsidRPr="00A435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F2"/>
    <w:rsid w:val="005943F2"/>
    <w:rsid w:val="00A43533"/>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43F2"/>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5943F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5943F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5943F2"/>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5943F2"/>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5943F2"/>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943F2"/>
    <w:rPr>
      <w:b/>
      <w:bCs/>
    </w:rPr>
  </w:style>
  <w:style w:type="character" w:customStyle="1" w:styleId="superscript">
    <w:name w:val="superscript"/>
    <w:basedOn w:val="Fuentedeprrafopredeter"/>
    <w:rsid w:val="005943F2"/>
    <w:rPr>
      <w:b/>
      <w:bCs/>
      <w:sz w:val="17"/>
      <w:szCs w:val="17"/>
      <w:vertAlign w:val="superscript"/>
    </w:rPr>
  </w:style>
  <w:style w:type="character" w:customStyle="1" w:styleId="italicas">
    <w:name w:val="italicas"/>
    <w:basedOn w:val="Fuentedeprrafopredeter"/>
    <w:rsid w:val="005943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43F2"/>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5943F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5943F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5943F2"/>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5943F2"/>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5943F2"/>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943F2"/>
    <w:rPr>
      <w:b/>
      <w:bCs/>
    </w:rPr>
  </w:style>
  <w:style w:type="character" w:customStyle="1" w:styleId="superscript">
    <w:name w:val="superscript"/>
    <w:basedOn w:val="Fuentedeprrafopredeter"/>
    <w:rsid w:val="005943F2"/>
    <w:rPr>
      <w:b/>
      <w:bCs/>
      <w:sz w:val="17"/>
      <w:szCs w:val="17"/>
      <w:vertAlign w:val="superscript"/>
    </w:rPr>
  </w:style>
  <w:style w:type="character" w:customStyle="1" w:styleId="italicas">
    <w:name w:val="italicas"/>
    <w:basedOn w:val="Fuentedeprrafopredeter"/>
    <w:rsid w:val="00594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2503">
      <w:bodyDiv w:val="1"/>
      <w:marLeft w:val="150"/>
      <w:marRight w:val="150"/>
      <w:marTop w:val="0"/>
      <w:marBottom w:val="0"/>
      <w:divBdr>
        <w:top w:val="none" w:sz="0" w:space="0" w:color="auto"/>
        <w:left w:val="none" w:sz="0" w:space="0" w:color="auto"/>
        <w:bottom w:val="none" w:sz="0" w:space="0" w:color="auto"/>
        <w:right w:val="none" w:sz="0" w:space="0" w:color="auto"/>
      </w:divBdr>
      <w:divsChild>
        <w:div w:id="1490168155">
          <w:marLeft w:val="0"/>
          <w:marRight w:val="0"/>
          <w:marTop w:val="0"/>
          <w:marBottom w:val="0"/>
          <w:divBdr>
            <w:top w:val="none" w:sz="0" w:space="0" w:color="auto"/>
            <w:left w:val="none" w:sz="0" w:space="0" w:color="auto"/>
            <w:bottom w:val="none" w:sz="0" w:space="0" w:color="auto"/>
            <w:right w:val="none" w:sz="0" w:space="0" w:color="auto"/>
          </w:divBdr>
          <w:divsChild>
            <w:div w:id="116798280">
              <w:marLeft w:val="0"/>
              <w:marRight w:val="0"/>
              <w:marTop w:val="0"/>
              <w:marBottom w:val="0"/>
              <w:divBdr>
                <w:top w:val="none" w:sz="0" w:space="0" w:color="auto"/>
                <w:left w:val="none" w:sz="0" w:space="0" w:color="auto"/>
                <w:bottom w:val="none" w:sz="0" w:space="0" w:color="auto"/>
                <w:right w:val="none" w:sz="0" w:space="0" w:color="auto"/>
              </w:divBdr>
              <w:divsChild>
                <w:div w:id="823008535">
                  <w:marLeft w:val="0"/>
                  <w:marRight w:val="0"/>
                  <w:marTop w:val="1500"/>
                  <w:marBottom w:val="0"/>
                  <w:divBdr>
                    <w:top w:val="none" w:sz="0" w:space="0" w:color="auto"/>
                    <w:left w:val="none" w:sz="0" w:space="0" w:color="auto"/>
                    <w:bottom w:val="none" w:sz="0" w:space="0" w:color="auto"/>
                    <w:right w:val="none" w:sz="0" w:space="0" w:color="auto"/>
                  </w:divBdr>
                  <w:divsChild>
                    <w:div w:id="1081877975">
                      <w:marLeft w:val="0"/>
                      <w:marRight w:val="0"/>
                      <w:marTop w:val="1500"/>
                      <w:marBottom w:val="0"/>
                      <w:divBdr>
                        <w:top w:val="none" w:sz="0" w:space="0" w:color="auto"/>
                        <w:left w:val="none" w:sz="0" w:space="0" w:color="auto"/>
                        <w:bottom w:val="none" w:sz="0" w:space="0" w:color="auto"/>
                        <w:right w:val="none" w:sz="0" w:space="0" w:color="auto"/>
                      </w:divBdr>
                      <w:divsChild>
                        <w:div w:id="50429779">
                          <w:marLeft w:val="0"/>
                          <w:marRight w:val="0"/>
                          <w:marTop w:val="1500"/>
                          <w:marBottom w:val="0"/>
                          <w:divBdr>
                            <w:top w:val="none" w:sz="0" w:space="0" w:color="auto"/>
                            <w:left w:val="none" w:sz="0" w:space="0" w:color="auto"/>
                            <w:bottom w:val="none" w:sz="0" w:space="0" w:color="auto"/>
                            <w:right w:val="none" w:sz="0" w:space="0" w:color="auto"/>
                          </w:divBdr>
                          <w:divsChild>
                            <w:div w:id="646016928">
                              <w:marLeft w:val="0"/>
                              <w:marRight w:val="0"/>
                              <w:marTop w:val="1500"/>
                              <w:marBottom w:val="0"/>
                              <w:divBdr>
                                <w:top w:val="none" w:sz="0" w:space="0" w:color="auto"/>
                                <w:left w:val="none" w:sz="0" w:space="0" w:color="auto"/>
                                <w:bottom w:val="none" w:sz="0" w:space="0" w:color="auto"/>
                                <w:right w:val="none" w:sz="0" w:space="0" w:color="auto"/>
                              </w:divBdr>
                              <w:divsChild>
                                <w:div w:id="1960259121">
                                  <w:marLeft w:val="0"/>
                                  <w:marRight w:val="0"/>
                                  <w:marTop w:val="1500"/>
                                  <w:marBottom w:val="0"/>
                                  <w:divBdr>
                                    <w:top w:val="none" w:sz="0" w:space="0" w:color="auto"/>
                                    <w:left w:val="none" w:sz="0" w:space="0" w:color="auto"/>
                                    <w:bottom w:val="none" w:sz="0" w:space="0" w:color="auto"/>
                                    <w:right w:val="none" w:sz="0" w:space="0" w:color="auto"/>
                                  </w:divBdr>
                                  <w:divsChild>
                                    <w:div w:id="1834955466">
                                      <w:marLeft w:val="0"/>
                                      <w:marRight w:val="0"/>
                                      <w:marTop w:val="1500"/>
                                      <w:marBottom w:val="0"/>
                                      <w:divBdr>
                                        <w:top w:val="none" w:sz="0" w:space="0" w:color="auto"/>
                                        <w:left w:val="none" w:sz="0" w:space="0" w:color="auto"/>
                                        <w:bottom w:val="none" w:sz="0" w:space="0" w:color="auto"/>
                                        <w:right w:val="none" w:sz="0" w:space="0" w:color="auto"/>
                                      </w:divBdr>
                                      <w:divsChild>
                                        <w:div w:id="1338383208">
                                          <w:marLeft w:val="0"/>
                                          <w:marRight w:val="0"/>
                                          <w:marTop w:val="1500"/>
                                          <w:marBottom w:val="0"/>
                                          <w:divBdr>
                                            <w:top w:val="none" w:sz="0" w:space="0" w:color="auto"/>
                                            <w:left w:val="none" w:sz="0" w:space="0" w:color="auto"/>
                                            <w:bottom w:val="none" w:sz="0" w:space="0" w:color="auto"/>
                                            <w:right w:val="none" w:sz="0" w:space="0" w:color="auto"/>
                                          </w:divBdr>
                                          <w:divsChild>
                                            <w:div w:id="594291073">
                                              <w:marLeft w:val="0"/>
                                              <w:marRight w:val="0"/>
                                              <w:marTop w:val="1500"/>
                                              <w:marBottom w:val="0"/>
                                              <w:divBdr>
                                                <w:top w:val="none" w:sz="0" w:space="0" w:color="auto"/>
                                                <w:left w:val="none" w:sz="0" w:space="0" w:color="auto"/>
                                                <w:bottom w:val="none" w:sz="0" w:space="0" w:color="auto"/>
                                                <w:right w:val="none" w:sz="0" w:space="0" w:color="auto"/>
                                              </w:divBdr>
                                              <w:divsChild>
                                                <w:div w:id="940335065">
                                                  <w:marLeft w:val="0"/>
                                                  <w:marRight w:val="0"/>
                                                  <w:marTop w:val="1500"/>
                                                  <w:marBottom w:val="0"/>
                                                  <w:divBdr>
                                                    <w:top w:val="none" w:sz="0" w:space="0" w:color="auto"/>
                                                    <w:left w:val="none" w:sz="0" w:space="0" w:color="auto"/>
                                                    <w:bottom w:val="none" w:sz="0" w:space="0" w:color="auto"/>
                                                    <w:right w:val="none" w:sz="0" w:space="0" w:color="auto"/>
                                                  </w:divBdr>
                                                  <w:divsChild>
                                                    <w:div w:id="24602299">
                                                      <w:marLeft w:val="0"/>
                                                      <w:marRight w:val="0"/>
                                                      <w:marTop w:val="1500"/>
                                                      <w:marBottom w:val="0"/>
                                                      <w:divBdr>
                                                        <w:top w:val="none" w:sz="0" w:space="0" w:color="auto"/>
                                                        <w:left w:val="none" w:sz="0" w:space="0" w:color="auto"/>
                                                        <w:bottom w:val="none" w:sz="0" w:space="0" w:color="auto"/>
                                                        <w:right w:val="none" w:sz="0" w:space="0" w:color="auto"/>
                                                      </w:divBdr>
                                                      <w:divsChild>
                                                        <w:div w:id="1708482266">
                                                          <w:marLeft w:val="0"/>
                                                          <w:marRight w:val="0"/>
                                                          <w:marTop w:val="1500"/>
                                                          <w:marBottom w:val="0"/>
                                                          <w:divBdr>
                                                            <w:top w:val="none" w:sz="0" w:space="0" w:color="auto"/>
                                                            <w:left w:val="none" w:sz="0" w:space="0" w:color="auto"/>
                                                            <w:bottom w:val="none" w:sz="0" w:space="0" w:color="auto"/>
                                                            <w:right w:val="none" w:sz="0" w:space="0" w:color="auto"/>
                                                          </w:divBdr>
                                                          <w:divsChild>
                                                            <w:div w:id="1314413010">
                                                              <w:marLeft w:val="0"/>
                                                              <w:marRight w:val="0"/>
                                                              <w:marTop w:val="1500"/>
                                                              <w:marBottom w:val="0"/>
                                                              <w:divBdr>
                                                                <w:top w:val="none" w:sz="0" w:space="0" w:color="auto"/>
                                                                <w:left w:val="none" w:sz="0" w:space="0" w:color="auto"/>
                                                                <w:bottom w:val="none" w:sz="0" w:space="0" w:color="auto"/>
                                                                <w:right w:val="none" w:sz="0" w:space="0" w:color="auto"/>
                                                              </w:divBdr>
                                                              <w:divsChild>
                                                                <w:div w:id="440682530">
                                                                  <w:marLeft w:val="0"/>
                                                                  <w:marRight w:val="0"/>
                                                                  <w:marTop w:val="1500"/>
                                                                  <w:marBottom w:val="0"/>
                                                                  <w:divBdr>
                                                                    <w:top w:val="none" w:sz="0" w:space="0" w:color="auto"/>
                                                                    <w:left w:val="none" w:sz="0" w:space="0" w:color="auto"/>
                                                                    <w:bottom w:val="none" w:sz="0" w:space="0" w:color="auto"/>
                                                                    <w:right w:val="none" w:sz="0" w:space="0" w:color="auto"/>
                                                                  </w:divBdr>
                                                                  <w:divsChild>
                                                                    <w:div w:id="1312565702">
                                                                      <w:marLeft w:val="0"/>
                                                                      <w:marRight w:val="0"/>
                                                                      <w:marTop w:val="1500"/>
                                                                      <w:marBottom w:val="0"/>
                                                                      <w:divBdr>
                                                                        <w:top w:val="none" w:sz="0" w:space="0" w:color="auto"/>
                                                                        <w:left w:val="none" w:sz="0" w:space="0" w:color="auto"/>
                                                                        <w:bottom w:val="none" w:sz="0" w:space="0" w:color="auto"/>
                                                                        <w:right w:val="none" w:sz="0" w:space="0" w:color="auto"/>
                                                                      </w:divBdr>
                                                                      <w:divsChild>
                                                                        <w:div w:id="1844276360">
                                                                          <w:marLeft w:val="0"/>
                                                                          <w:marRight w:val="0"/>
                                                                          <w:marTop w:val="1500"/>
                                                                          <w:marBottom w:val="0"/>
                                                                          <w:divBdr>
                                                                            <w:top w:val="none" w:sz="0" w:space="0" w:color="auto"/>
                                                                            <w:left w:val="none" w:sz="0" w:space="0" w:color="auto"/>
                                                                            <w:bottom w:val="none" w:sz="0" w:space="0" w:color="auto"/>
                                                                            <w:right w:val="none" w:sz="0" w:space="0" w:color="auto"/>
                                                                          </w:divBdr>
                                                                          <w:divsChild>
                                                                            <w:div w:id="1868789781">
                                                                              <w:marLeft w:val="0"/>
                                                                              <w:marRight w:val="0"/>
                                                                              <w:marTop w:val="1500"/>
                                                                              <w:marBottom w:val="0"/>
                                                                              <w:divBdr>
                                                                                <w:top w:val="none" w:sz="0" w:space="0" w:color="auto"/>
                                                                                <w:left w:val="none" w:sz="0" w:space="0" w:color="auto"/>
                                                                                <w:bottom w:val="none" w:sz="0" w:space="0" w:color="auto"/>
                                                                                <w:right w:val="none" w:sz="0" w:space="0" w:color="auto"/>
                                                                              </w:divBdr>
                                                                              <w:divsChild>
                                                                                <w:div w:id="1429500021">
                                                                                  <w:marLeft w:val="0"/>
                                                                                  <w:marRight w:val="0"/>
                                                                                  <w:marTop w:val="1500"/>
                                                                                  <w:marBottom w:val="0"/>
                                                                                  <w:divBdr>
                                                                                    <w:top w:val="none" w:sz="0" w:space="0" w:color="auto"/>
                                                                                    <w:left w:val="none" w:sz="0" w:space="0" w:color="auto"/>
                                                                                    <w:bottom w:val="none" w:sz="0" w:space="0" w:color="auto"/>
                                                                                    <w:right w:val="none" w:sz="0" w:space="0" w:color="auto"/>
                                                                                  </w:divBdr>
                                                                                  <w:divsChild>
                                                                                    <w:div w:id="1958681230">
                                                                                      <w:marLeft w:val="0"/>
                                                                                      <w:marRight w:val="0"/>
                                                                                      <w:marTop w:val="1500"/>
                                                                                      <w:marBottom w:val="0"/>
                                                                                      <w:divBdr>
                                                                                        <w:top w:val="none" w:sz="0" w:space="0" w:color="auto"/>
                                                                                        <w:left w:val="none" w:sz="0" w:space="0" w:color="auto"/>
                                                                                        <w:bottom w:val="none" w:sz="0" w:space="0" w:color="auto"/>
                                                                                        <w:right w:val="none" w:sz="0" w:space="0" w:color="auto"/>
                                                                                      </w:divBdr>
                                                                                      <w:divsChild>
                                                                                        <w:div w:id="27266462">
                                                                                          <w:marLeft w:val="0"/>
                                                                                          <w:marRight w:val="0"/>
                                                                                          <w:marTop w:val="1500"/>
                                                                                          <w:marBottom w:val="0"/>
                                                                                          <w:divBdr>
                                                                                            <w:top w:val="none" w:sz="0" w:space="0" w:color="auto"/>
                                                                                            <w:left w:val="none" w:sz="0" w:space="0" w:color="auto"/>
                                                                                            <w:bottom w:val="none" w:sz="0" w:space="0" w:color="auto"/>
                                                                                            <w:right w:val="none" w:sz="0" w:space="0" w:color="auto"/>
                                                                                          </w:divBdr>
                                                                                          <w:divsChild>
                                                                                            <w:div w:id="2104916777">
                                                                                              <w:marLeft w:val="0"/>
                                                                                              <w:marRight w:val="0"/>
                                                                                              <w:marTop w:val="1500"/>
                                                                                              <w:marBottom w:val="0"/>
                                                                                              <w:divBdr>
                                                                                                <w:top w:val="none" w:sz="0" w:space="0" w:color="auto"/>
                                                                                                <w:left w:val="none" w:sz="0" w:space="0" w:color="auto"/>
                                                                                                <w:bottom w:val="none" w:sz="0" w:space="0" w:color="auto"/>
                                                                                                <w:right w:val="none" w:sz="0" w:space="0" w:color="auto"/>
                                                                                              </w:divBdr>
                                                                                              <w:divsChild>
                                                                                                <w:div w:id="1602256508">
                                                                                                  <w:marLeft w:val="0"/>
                                                                                                  <w:marRight w:val="0"/>
                                                                                                  <w:marTop w:val="1500"/>
                                                                                                  <w:marBottom w:val="0"/>
                                                                                                  <w:divBdr>
                                                                                                    <w:top w:val="none" w:sz="0" w:space="0" w:color="auto"/>
                                                                                                    <w:left w:val="none" w:sz="0" w:space="0" w:color="auto"/>
                                                                                                    <w:bottom w:val="none" w:sz="0" w:space="0" w:color="auto"/>
                                                                                                    <w:right w:val="none" w:sz="0" w:space="0" w:color="auto"/>
                                                                                                  </w:divBdr>
                                                                                                  <w:divsChild>
                                                                                                    <w:div w:id="1779524110">
                                                                                                      <w:marLeft w:val="0"/>
                                                                                                      <w:marRight w:val="0"/>
                                                                                                      <w:marTop w:val="1500"/>
                                                                                                      <w:marBottom w:val="0"/>
                                                                                                      <w:divBdr>
                                                                                                        <w:top w:val="none" w:sz="0" w:space="0" w:color="auto"/>
                                                                                                        <w:left w:val="none" w:sz="0" w:space="0" w:color="auto"/>
                                                                                                        <w:bottom w:val="none" w:sz="0" w:space="0" w:color="auto"/>
                                                                                                        <w:right w:val="none" w:sz="0" w:space="0" w:color="auto"/>
                                                                                                      </w:divBdr>
                                                                                                      <w:divsChild>
                                                                                                        <w:div w:id="1432893283">
                                                                                                          <w:marLeft w:val="0"/>
                                                                                                          <w:marRight w:val="0"/>
                                                                                                          <w:marTop w:val="1500"/>
                                                                                                          <w:marBottom w:val="0"/>
                                                                                                          <w:divBdr>
                                                                                                            <w:top w:val="none" w:sz="0" w:space="0" w:color="auto"/>
                                                                                                            <w:left w:val="none" w:sz="0" w:space="0" w:color="auto"/>
                                                                                                            <w:bottom w:val="none" w:sz="0" w:space="0" w:color="auto"/>
                                                                                                            <w:right w:val="none" w:sz="0" w:space="0" w:color="auto"/>
                                                                                                          </w:divBdr>
                                                                                                          <w:divsChild>
                                                                                                            <w:div w:id="126611142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1659</Words>
  <Characters>9128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2011-10-19T18:14:00Z</dcterms:created>
  <dcterms:modified xsi:type="dcterms:W3CDTF">2011-10-19T18:51:00Z</dcterms:modified>
</cp:coreProperties>
</file>