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56" w:rsidRPr="000D077C" w:rsidRDefault="00B24756" w:rsidP="00B24756">
      <w:pPr>
        <w:pStyle w:val="versales"/>
        <w:rPr>
          <w:rFonts w:ascii="Arial" w:hAnsi="Arial" w:cs="Arial"/>
          <w:color w:val="auto"/>
        </w:rPr>
      </w:pPr>
      <w:bookmarkStart w:id="0" w:name="DictamenaD6"/>
      <w:bookmarkStart w:id="1" w:name="_GoBack"/>
      <w:r w:rsidRPr="000D077C">
        <w:rPr>
          <w:rFonts w:ascii="Arial" w:hAnsi="Arial" w:cs="Arial"/>
          <w:color w:val="auto"/>
        </w:rPr>
        <w:t xml:space="preserve">De la Comisión de Ciencia y Tecnología, con proyecto de decreto que reforma y adiciona los artículos 6, 8 y 13 a la Ley de Ciencia y Tecnología </w:t>
      </w:r>
    </w:p>
    <w:bookmarkEnd w:id="1"/>
    <w:p w:rsidR="00B24756" w:rsidRPr="000D077C" w:rsidRDefault="00B24756" w:rsidP="00B24756">
      <w:pPr>
        <w:pStyle w:val="NormalWeb"/>
        <w:rPr>
          <w:rFonts w:ascii="Arial" w:hAnsi="Arial" w:cs="Arial"/>
          <w:sz w:val="22"/>
          <w:szCs w:val="22"/>
        </w:rPr>
      </w:pPr>
      <w:r w:rsidRPr="000D077C">
        <w:rPr>
          <w:rFonts w:ascii="Arial" w:hAnsi="Arial" w:cs="Arial"/>
          <w:sz w:val="22"/>
          <w:szCs w:val="22"/>
        </w:rPr>
        <w:t>Honorable Asamblea:</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A la Comisión de Ciencia y Tecnología de la LXI Legislatura fue turnada para estudio, análisis y dictamen correspondiente la iniciativa con proyecto de decreto que reforma los artículos 6o., 8o. y 13 de la Ley de Ciencia y Tecnología.</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La Comisión de Ciencia y Tecnología de la Cámara de Diputados de la LXI Legislatura, de conformidad con lo dispuesto en los artículos 39 y 45, numeral 6, incisos e), f) y g), de la Ley Orgánica del Congreso General de los Estados Unidos Mexicanos, así como 80, 82, numeral 1, 85, 157, numeral 1, fracción I, 158, numeral 1, fracción IV, 176, 182, numeral 1, y demás relativos del Reglamento de la Cámara de Diputados, presenta a consideración de esta soberanía el siguiente dictamen:</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I. Antecedentes</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1.</w:t>
      </w:r>
      <w:r w:rsidRPr="000D077C">
        <w:rPr>
          <w:rFonts w:ascii="Arial" w:hAnsi="Arial" w:cs="Arial"/>
          <w:sz w:val="22"/>
          <w:szCs w:val="22"/>
        </w:rPr>
        <w:t xml:space="preserve"> En sesión plenaria celebrada el 29 de abril de 2011 por la Cámara de Diputados del Congreso de la Unión, el diputado Gerardo del Mazo Morales, del Grupo Parlamentario de Nueva Alianza, presentó ante el pleno de esta soberanía iniciativa con proyecto de decreto que reforma los artículos 6o., 8o. y 13 de la Ley de Ciencia y Tecnología.</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2.</w:t>
      </w:r>
      <w:r w:rsidRPr="000D077C">
        <w:rPr>
          <w:rFonts w:ascii="Arial" w:hAnsi="Arial" w:cs="Arial"/>
          <w:sz w:val="22"/>
          <w:szCs w:val="22"/>
        </w:rPr>
        <w:t xml:space="preserve"> El 13 de mayo de 2011, la Presidencia de la Mesa Directiva de la Cámara de Diputados turnó la iniciativa en comento a la Comisión de Ciencia y Tecnología, para estudio, análisis y elaboración del dictamen correspondiente.</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3.</w:t>
      </w:r>
      <w:r w:rsidRPr="000D077C">
        <w:rPr>
          <w:rFonts w:ascii="Arial" w:hAnsi="Arial" w:cs="Arial"/>
          <w:sz w:val="22"/>
          <w:szCs w:val="22"/>
        </w:rPr>
        <w:t xml:space="preserve"> El 19 de julio de 2011, la Mesa Directiva, en atención de la solicitud realizada por esta comisión, autorizó prórroga para emitir el dictamen correspondiente a la iniciativa en comento.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II. Contenido de la iniciativa</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La iniciativa del diputado Gerardo del Mazo Morales, del Grupo Parlamentario de Nueva Alianza, propone facultar al Consejo General de Investigación Científica, Desarrollo Tecnológico e Innovación a fin de crear comités de vinculación, con el objetivo de impulsar y crear las condiciones necesarias para la vinculación de la investigación con la educación, la innovación y el desarrollo tecnológico con los sectores productivo y de servicios.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Establecidos los antecedentes y el contenido de la iniciativa, los miembros de la Comisión de Ciencia y Tecnología de la LXI Legislatura de la Cámara de Diputados que suscriben el presente dictamen exponemos las siguientes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III. Consideraciones</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Primera.</w:t>
      </w:r>
      <w:r w:rsidRPr="000D077C">
        <w:rPr>
          <w:rFonts w:ascii="Arial" w:hAnsi="Arial" w:cs="Arial"/>
          <w:sz w:val="22"/>
          <w:szCs w:val="22"/>
        </w:rPr>
        <w:t xml:space="preserve"> Los integrantes de la Comisión de Ciencia y Tecnología estamos comprometidos con el desarrollo científico, tecnológico y de innovación. Por ello consideramos que es indispensable crear y desarrollar estrategias y políticas públicas </w:t>
      </w:r>
      <w:r w:rsidRPr="000D077C">
        <w:rPr>
          <w:rFonts w:ascii="Arial" w:hAnsi="Arial" w:cs="Arial"/>
          <w:sz w:val="22"/>
          <w:szCs w:val="22"/>
        </w:rPr>
        <w:lastRenderedPageBreak/>
        <w:t>eficaces que incrementen los niveles generales de productividad y que fomenten la innovación y el desarrollo tecnológico para transitar de una economía basada en la manufactura a una economía sustentada en el conocimiento. Las políticas públicas en materia de ciencia y tecnología en nuestro país deben ser pieza clave para el crecimiento de la economía nacional.</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 xml:space="preserve">El legislador menciona en la exposición de motivos que en los países industrializados la eficacia y calidad de la ciencia y la tecnología, depende fundamentalmente de las articulaciones que establecen entre sí, la sociedad, y </w:t>
      </w:r>
      <w:proofErr w:type="gramStart"/>
      <w:r w:rsidRPr="000D077C">
        <w:rPr>
          <w:rFonts w:ascii="Arial" w:hAnsi="Arial" w:cs="Arial"/>
          <w:sz w:val="22"/>
          <w:szCs w:val="22"/>
        </w:rPr>
        <w:t>los sectores educativo</w:t>
      </w:r>
      <w:proofErr w:type="gramEnd"/>
      <w:r w:rsidRPr="000D077C">
        <w:rPr>
          <w:rFonts w:ascii="Arial" w:hAnsi="Arial" w:cs="Arial"/>
          <w:sz w:val="22"/>
          <w:szCs w:val="22"/>
        </w:rPr>
        <w:t xml:space="preserve"> y de investigación, y el productivo. En Latinoamérica, sin embargo, esta vinculación se dificulta debido al marcado carácter académico y la escasa cultura empresarial dentro de las universidades, situación que ha generado ciertos prejuicios y desconfianza por parte del sector productivo.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La proporción de gasto que se hace en investigación y desarrollo en nuestro país es de menos de 0.5 por ciento del producto interno bruto (PIB) y de acuerdo con datos de la Organización para la Cooperación y el Desarrollo Económicos (OCDE) no sólo es la más baja dentro de los países miembros de esta organización, sino que se encuentra por debajo del gasto que hacen otros países emergentes como China que le dedica 1.5 por ciento del PIB; Brasil y Sudáfrica le están dedicando el 1 por ciento, más del doble que nosotros. Según información provista por la OCDE existe el compromiso explícito de estos gobiernos por seguir incrementando los recursos tanto públicos como privados. Como resultado, estos países tienen actualmente un mejor desempeño económico que nuestro país.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En México se requiere impulsar la vinculación de la actividad científica y tecnológica de las universidades y centros de investigación con la industria de tal forma que ambos sectores se involucren con el proceso de modernización de la sociedad de tal forma que se conviertan en agentes de transformación, con la finalidad de contribuir y aportar al desarrollo económico y social del país.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La relación fructífera entre las instituciones de educación superior con el sector productivo y de servicios sólo puede establecerse a partir de reconocer y respetar los diferentes roles que les corresponden en cada ámbito de competencia, eliminando las desconfianzas que existen entre ellos. Para ello se requieren aproximaciones graduales y comunicación constante.</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No obstante que se reconoce su importancia, la vinculación entre las instituciones de educación superior y los centros de investigación públicos con el sector empresarial es un tema que, aunque ha estado presente en las políticas educativas recientemente, continúa siendo una tarea pendiente en tanto no se convierta en una estrategia prioritaria que articule políticas públicas con programas de desarrollo empresarial, que se orienten al logro de objetivos comunes hacia la elevación de los niveles de competitividad y productividad.</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 xml:space="preserve">El legislador concluye la exposición de motivos puntualizando que los comités de vinculación han de ser los encargados de unir los puntos de convergencia de los actores involucrados en la materia, logrando así los dos grandes objetivos de su propuesta de reforma: beneficiar, por una parte a los estudiantes y a las instituciones educativas y por </w:t>
      </w:r>
      <w:r w:rsidRPr="000D077C">
        <w:rPr>
          <w:rFonts w:ascii="Arial" w:hAnsi="Arial" w:cs="Arial"/>
          <w:sz w:val="22"/>
          <w:szCs w:val="22"/>
        </w:rPr>
        <w:lastRenderedPageBreak/>
        <w:t>la otra a los sectores productivo y de servicios con la investigación y la innovación y a partir de ello aumentar la productividad y la competitividad.</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Segunda.</w:t>
      </w:r>
      <w:r w:rsidRPr="000D077C">
        <w:rPr>
          <w:rFonts w:ascii="Arial" w:hAnsi="Arial" w:cs="Arial"/>
          <w:sz w:val="22"/>
          <w:szCs w:val="22"/>
        </w:rPr>
        <w:t xml:space="preserve"> La Comisión de Ciencia y Tecnología, con el Consejo Nacional de Ciencia y Tecnología, el Foro Consultivo Científico y Tecnológico, la Red Nacional de Consejos y Organismos Estatales de Ciencia y Tecnología y la Asociación Mexicana de Secretarios de Desarrollo Económico, organizó la reunión nacional de análisis </w:t>
      </w:r>
      <w:r w:rsidRPr="000D077C">
        <w:rPr>
          <w:rStyle w:val="italicas"/>
          <w:rFonts w:ascii="Arial" w:hAnsi="Arial" w:cs="Arial"/>
          <w:sz w:val="22"/>
          <w:szCs w:val="22"/>
        </w:rPr>
        <w:t xml:space="preserve">Vinculación ciencia, tecnología e innovación-sector empresarial: estado y perspectivas. </w:t>
      </w:r>
      <w:r w:rsidRPr="000D077C">
        <w:rPr>
          <w:rFonts w:ascii="Arial" w:hAnsi="Arial" w:cs="Arial"/>
          <w:sz w:val="22"/>
          <w:szCs w:val="22"/>
        </w:rPr>
        <w:t>Conscientes de la problemática que actualmente enfrenta México, se planteó como propósito fundamental el construir conjuntamente una agenda estratégica para la vinculación ciencia tecnología e innovación-sector empresarial, que considere la visión nacional y el desarrollo local, precisando compromisos y estableciendo mecanismos para su seguimiento.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En la reunión se revisó la información disponible en los consejos y organismos estatales de ciencia y tecnología, y se conocieron las diferencias a nivel nacional, no obstante, en la mayoría de las entidades federativas se presentan experiencias exitosas, con poca interacción e incluso conocimiento, por parte de los responsables de las funciones de articulación y vinculación de otras instancias, sean instituciones académicas, áreas gubernamentales o agrupaciones empresariales.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Como resultado de la reunión se asumieron una serie de compromisos por parte de los actores que intervienen en el proceso de vinculación, con el propósito de contar con políticas públicas federales, estatales y municipales que promuevan la vinculación y articulación de los sistemas educativos, de ciencia, tecnología e innovación y de éstos con el sector empresarial. Entre estos los compromisos, en materia de legislación y normatividad para la vinculación, se encuentra la adecuación de los ordenamientos legales que regulen el funcionamiento gubernamental para incluir consejos científicos y tecnológicos en la definición de asuntos técnico-administrativos.</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Tercera.</w:t>
      </w:r>
      <w:r w:rsidRPr="000D077C">
        <w:rPr>
          <w:rFonts w:ascii="Arial" w:hAnsi="Arial" w:cs="Arial"/>
          <w:sz w:val="22"/>
          <w:szCs w:val="22"/>
        </w:rPr>
        <w:t xml:space="preserve"> El Consejo Nacional de Ciencia y Tecnología, en su publicación </w:t>
      </w:r>
      <w:r w:rsidRPr="000D077C">
        <w:rPr>
          <w:rStyle w:val="italicas"/>
          <w:rFonts w:ascii="Arial" w:hAnsi="Arial" w:cs="Arial"/>
          <w:sz w:val="22"/>
          <w:szCs w:val="22"/>
        </w:rPr>
        <w:t>Conocimiento e innovación en México: hacia una política de Estado,</w:t>
      </w:r>
      <w:r w:rsidRPr="000D077C">
        <w:rPr>
          <w:rFonts w:ascii="Arial" w:hAnsi="Arial" w:cs="Arial"/>
          <w:sz w:val="22"/>
          <w:szCs w:val="22"/>
        </w:rPr>
        <w:t xml:space="preserve"> reconoce la falta de vinculación existente en el país, exponiendo que un problema central de la política de ciencia y tecnología en México, es que existen lazos débiles entre las estructuras de generación y transmisión de conocimientos y los procesos de crecimiento económico, e incluso de bienestar social. El mismo consejo menciona que se carece de políticas públicas que fomenten la relación universidad-empresa para que los egresados de la educación superior sean absorbidos por el sector productivo, público y privado e incorporados a las actividades que crean valor.</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Cabe resaltar que los instrumentos pueden ser de dos clases: financieros y no financieros. El primero implica el otorgamiento de recursos monetarios públicos para su implantación por medio de diversas modalidades, mientras que en el segundo se trata de instrumentos como el que implica el presente dictamen, que simplemente preparan el camino para la implantación de las acciones correspondientes.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Crear un ambiente de cooperación que aliente la inversión de actividades científicas y tecnológicas, implica la adopción de medidas que fortalezcan la habilidad de las empresas para promover y apropiarse de los beneficios de la investigación, a la vez que invierten recursos y crean oportunidades de generación de investigación e innovación.</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lastRenderedPageBreak/>
        <w:t>Los estudiantes, los equipos de investigación y los docentes requieren de estas oportunidades de desarrollo. Ello contribuye además a tener una fuerza de trabajo mejor preparada con lo que además se contribuye a volver eficiente la productividad en todos los sectores y a contar con empleos mejor remunerados.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Por otro lado, la vinculación también es importante para que el proceso de transición escuela-trabajo, en el que se encuentran miles de estudiantes a nivel nacional, se lleve a cabo con mayor fluidez y mejores resultados. El fenómeno de la transición del sistema educativo a la empresa, es un fenómeno relativamente nuevo que se debe impulsar desde las diferentes trincheras. Nos toca hacerlo desde el Poder Legislativo, ya que es un eje clave en las políticas públicas de formación, trabajo y bienestar social.</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Cuarta.</w:t>
      </w:r>
      <w:r w:rsidRPr="000D077C">
        <w:rPr>
          <w:rFonts w:ascii="Arial" w:hAnsi="Arial" w:cs="Arial"/>
          <w:sz w:val="22"/>
          <w:szCs w:val="22"/>
        </w:rPr>
        <w:t xml:space="preserve"> La Ley de Ciencia y Tecnología, Reglamentaria de la Fracción V del Artículo 3o. de la Constitución Política de los Estados Unidos Mexicanos, establece en diversas disposiciones normativas el fomento de la vinculación entre el sector científico, tecnológico y de innovación con el sector empresarial y de servicios, entre los que destacan los siguientes:</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Artículo 1.</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La presente ley es reglamentaria de la fracción V del artículo 3o. de la Constitución Política de los Estados Unidos Mexicanos, y tiene por objeto</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II. Determinar los instrumentos</w:t>
      </w:r>
      <w:r w:rsidRPr="000D077C">
        <w:rPr>
          <w:rFonts w:ascii="Arial" w:hAnsi="Arial" w:cs="Arial"/>
          <w:sz w:val="22"/>
          <w:szCs w:val="22"/>
        </w:rPr>
        <w:t xml:space="preserve"> mediante los cuales el gobierno federal cumplirá la obligación de apoyar la investigación científica, el desarrollo tecnológico y la innovación;</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IV. Establecer las instancias y los mecanismos de coordinación</w:t>
      </w:r>
      <w:r w:rsidRPr="000D077C">
        <w:rPr>
          <w:rFonts w:ascii="Arial" w:hAnsi="Arial" w:cs="Arial"/>
          <w:sz w:val="22"/>
          <w:szCs w:val="22"/>
        </w:rPr>
        <w:t xml:space="preserve"> con los gobiernos de las entidades federativas, así como de </w:t>
      </w:r>
      <w:r w:rsidRPr="000D077C">
        <w:rPr>
          <w:rStyle w:val="negritas"/>
          <w:rFonts w:ascii="Arial" w:hAnsi="Arial" w:cs="Arial"/>
          <w:sz w:val="22"/>
          <w:szCs w:val="22"/>
        </w:rPr>
        <w:t>vinculación y participación de la comunidad científica y académica de las instituciones de educación superior, de los sectores público, social y privado</w:t>
      </w:r>
      <w:r w:rsidRPr="000D077C">
        <w:rPr>
          <w:rFonts w:ascii="Arial" w:hAnsi="Arial" w:cs="Arial"/>
          <w:sz w:val="22"/>
          <w:szCs w:val="22"/>
        </w:rPr>
        <w:t xml:space="preserve"> para la generación y formulación de políticas de promoción, difusión, desarrollo y aplicación de la ciencia, la tecnología y la innovación, así como para la formación de profesionales en estas áreas;</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V. Vincular a los sectores educativo, productivo y de servicios en materia de investigación científica, desarrollo tecnológico e innovación;</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IX. Fomentar el desarrollo tecnológico y la innovación de las empresas nacionales</w:t>
      </w:r>
      <w:r w:rsidRPr="000D077C">
        <w:rPr>
          <w:rFonts w:ascii="Arial" w:hAnsi="Arial" w:cs="Arial"/>
          <w:sz w:val="22"/>
          <w:szCs w:val="22"/>
        </w:rPr>
        <w:t xml:space="preserve"> que desarrollen sus actividades en territorio nacional, en particular en los sectores en que existen condiciones para generar nuevas tecnologías o lograr mayor competitividad.</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Este artículo representa las principales funciones que el gobierno federal cumplirá para lograr el desarrollo científico, tecnológico y de innovación nacional mediante el listado de diversos objetivos, entre los que destaca: crear instrumentos y fomentar la vinculación entre el sector científico, tecnológico y de innovación con el sector productivo o de servicios, dicho de otra manera, el sector empresarial.</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Artículo 2.</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lastRenderedPageBreak/>
        <w:t>Se establecen como bases de una política de Estado que sustente la integración del Sistema Nacional de Ciencia, Tecnología e Innovación las siguientes:</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III.</w:t>
      </w:r>
      <w:r w:rsidRPr="000D077C">
        <w:rPr>
          <w:rFonts w:ascii="Arial" w:hAnsi="Arial" w:cs="Arial"/>
          <w:sz w:val="22"/>
          <w:szCs w:val="22"/>
        </w:rPr>
        <w:t xml:space="preserve"> Incorporar el desarrollo tecnológico y la innovación a los procesos productivos y de servicios para incrementar la productividad y la competitividad que requiere el aparato productivo nacional;</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La fracción señala la importancia de incorporar el desarrollo tecnológico y la innovación a los procesos productivos y de servicios, por ello la relevancia de la iniciativa propuesta por el diputado Gerardo del Mazo, ya que se trataría de crear un mecanismo que permitiría la aplicación de la ley.</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Artículo 6.</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El Consejo General tendrá las siguientes facultades:</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VII.</w:t>
      </w:r>
      <w:r w:rsidRPr="000D077C">
        <w:rPr>
          <w:rFonts w:ascii="Arial" w:hAnsi="Arial" w:cs="Arial"/>
          <w:sz w:val="22"/>
          <w:szCs w:val="22"/>
        </w:rPr>
        <w:t xml:space="preserve"> Definir esquemas generales de organización para la eficaz atención, coordinación y </w:t>
      </w:r>
      <w:r w:rsidRPr="000D077C">
        <w:rPr>
          <w:rStyle w:val="negritas"/>
          <w:rFonts w:ascii="Arial" w:hAnsi="Arial" w:cs="Arial"/>
          <w:sz w:val="22"/>
          <w:szCs w:val="22"/>
        </w:rPr>
        <w:t>vinculación de las actividades de investigación, desarrollo tecnológico e innovación</w:t>
      </w:r>
      <w:r w:rsidRPr="000D077C">
        <w:rPr>
          <w:rFonts w:ascii="Arial" w:hAnsi="Arial" w:cs="Arial"/>
          <w:sz w:val="22"/>
          <w:szCs w:val="22"/>
        </w:rPr>
        <w:t xml:space="preserve"> en los diferentes sectores de la administración pública federal y </w:t>
      </w:r>
      <w:r w:rsidRPr="000D077C">
        <w:rPr>
          <w:rStyle w:val="negritas"/>
          <w:rFonts w:ascii="Arial" w:hAnsi="Arial" w:cs="Arial"/>
          <w:sz w:val="22"/>
          <w:szCs w:val="22"/>
        </w:rPr>
        <w:t>con los diversos sectores productivos y de servicios</w:t>
      </w:r>
      <w:r w:rsidRPr="000D077C">
        <w:rPr>
          <w:rFonts w:ascii="Arial" w:hAnsi="Arial" w:cs="Arial"/>
          <w:sz w:val="22"/>
          <w:szCs w:val="22"/>
        </w:rPr>
        <w:t xml:space="preserve"> del país, así como los mecanismos para impulsar la descentralización de estas actividades;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En el artículo propuesto para reforma en la iniciativa materia del presente dictamen se encuentra la obligación que tiene el consejo general para establecer esquemas generales que hagan eficaz la vinculación entre la investigación, el desarrollo tecnológico e innovación con el sector productivo y de servicios, sin embargo, no existe una norma que especifique el medio de aplicación de esta facultad conferida al consejo, por lo que esta propuesta resulta pertinente y necesaria.</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Por otra parte, en el artículo 8o. de esta ley se establece lo siguiente:</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Artículo 8o.</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 xml:space="preserve">El Consejo General podrá crear comités intersectoriales y de vinculación para atender los asuntos que el mismo Consejo determine relacionados con la articulación de políticas, la propuesta de programas prioritarios y áreas estratégicas, así como para la vinculación de la investigación con la educación, la innovación y el desarrollo tecnológico con los sectores productivos y de servicios. Salvo el comité a que se refiere el artículo 41, estos comités serán coordinados por el secretario ejecutivo, los que contarán con el apoyo del </w:t>
      </w:r>
      <w:proofErr w:type="spellStart"/>
      <w:r w:rsidRPr="000D077C">
        <w:rPr>
          <w:rFonts w:ascii="Arial" w:hAnsi="Arial" w:cs="Arial"/>
          <w:sz w:val="22"/>
          <w:szCs w:val="22"/>
        </w:rPr>
        <w:t>Conacyt</w:t>
      </w:r>
      <w:proofErr w:type="spellEnd"/>
      <w:r w:rsidRPr="000D077C">
        <w:rPr>
          <w:rFonts w:ascii="Arial" w:hAnsi="Arial" w:cs="Arial"/>
          <w:sz w:val="22"/>
          <w:szCs w:val="22"/>
        </w:rPr>
        <w:t xml:space="preserve"> para su eficiente funcionamiento. En dichos comités participarán miembros de la comunidad científica, tecnológica y empresarial.</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 xml:space="preserve">El diputado Gerardo del Mazo propone modificar dos palabras de este cuerpo normativo para que tenga mayor eficacia y mantenga congruencia con la propuesta antes analizada. Su propuesta consiste en sustituir la palabra </w:t>
      </w:r>
      <w:r w:rsidRPr="000D077C">
        <w:rPr>
          <w:rStyle w:val="negritas"/>
          <w:rFonts w:ascii="Arial" w:hAnsi="Arial" w:cs="Arial"/>
          <w:sz w:val="22"/>
          <w:szCs w:val="22"/>
        </w:rPr>
        <w:t>podrá</w:t>
      </w:r>
      <w:r w:rsidRPr="000D077C">
        <w:rPr>
          <w:rFonts w:ascii="Arial" w:hAnsi="Arial" w:cs="Arial"/>
          <w:sz w:val="22"/>
          <w:szCs w:val="22"/>
        </w:rPr>
        <w:t xml:space="preserve"> por </w:t>
      </w:r>
      <w:r w:rsidRPr="000D077C">
        <w:rPr>
          <w:rStyle w:val="negritas"/>
          <w:rFonts w:ascii="Arial" w:hAnsi="Arial" w:cs="Arial"/>
          <w:sz w:val="22"/>
          <w:szCs w:val="22"/>
        </w:rPr>
        <w:t>deberá,</w:t>
      </w:r>
      <w:r w:rsidRPr="000D077C">
        <w:rPr>
          <w:rFonts w:ascii="Arial" w:hAnsi="Arial" w:cs="Arial"/>
          <w:sz w:val="22"/>
          <w:szCs w:val="22"/>
        </w:rPr>
        <w:t xml:space="preserve"> cuestión que se considera correcta, ya que la palabra </w:t>
      </w:r>
      <w:r w:rsidRPr="000D077C">
        <w:rPr>
          <w:rStyle w:val="italicas"/>
          <w:rFonts w:ascii="Arial" w:hAnsi="Arial" w:cs="Arial"/>
          <w:sz w:val="22"/>
          <w:szCs w:val="22"/>
        </w:rPr>
        <w:t>podrá</w:t>
      </w:r>
      <w:r w:rsidRPr="000D077C">
        <w:rPr>
          <w:rFonts w:ascii="Arial" w:hAnsi="Arial" w:cs="Arial"/>
          <w:sz w:val="22"/>
          <w:szCs w:val="22"/>
        </w:rPr>
        <w:t xml:space="preserve"> representa una elección y </w:t>
      </w:r>
      <w:r w:rsidRPr="000D077C">
        <w:rPr>
          <w:rStyle w:val="italicas"/>
          <w:rFonts w:ascii="Arial" w:hAnsi="Arial" w:cs="Arial"/>
          <w:sz w:val="22"/>
          <w:szCs w:val="22"/>
        </w:rPr>
        <w:t>deberá</w:t>
      </w:r>
      <w:r w:rsidRPr="000D077C">
        <w:rPr>
          <w:rFonts w:ascii="Arial" w:hAnsi="Arial" w:cs="Arial"/>
          <w:sz w:val="22"/>
          <w:szCs w:val="22"/>
        </w:rPr>
        <w:t xml:space="preserve"> refleja la obligación del consejo para crear estos comités, siendo esta aportación necesaria para la interpretación armónica de la propuesta contenida en el artículo 6o.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lastRenderedPageBreak/>
        <w:t xml:space="preserve">Respecto de la segunda modificación, en la participación de estos comités, se sustituye la palabra </w:t>
      </w:r>
      <w:r w:rsidRPr="000D077C">
        <w:rPr>
          <w:rStyle w:val="negritas"/>
          <w:rFonts w:ascii="Arial" w:hAnsi="Arial" w:cs="Arial"/>
          <w:sz w:val="22"/>
          <w:szCs w:val="22"/>
        </w:rPr>
        <w:t>dichos</w:t>
      </w:r>
      <w:r w:rsidRPr="000D077C">
        <w:rPr>
          <w:rFonts w:ascii="Arial" w:hAnsi="Arial" w:cs="Arial"/>
          <w:sz w:val="22"/>
          <w:szCs w:val="22"/>
        </w:rPr>
        <w:t xml:space="preserve"> por la de </w:t>
      </w:r>
      <w:r w:rsidRPr="000D077C">
        <w:rPr>
          <w:rStyle w:val="negritas"/>
          <w:rFonts w:ascii="Arial" w:hAnsi="Arial" w:cs="Arial"/>
          <w:sz w:val="22"/>
          <w:szCs w:val="22"/>
        </w:rPr>
        <w:t>todos,</w:t>
      </w:r>
      <w:r w:rsidRPr="000D077C">
        <w:rPr>
          <w:rFonts w:ascii="Arial" w:hAnsi="Arial" w:cs="Arial"/>
          <w:sz w:val="22"/>
          <w:szCs w:val="22"/>
        </w:rPr>
        <w:t xml:space="preserve"> aportación positiva a este cuerpo normativo, en virtud de que </w:t>
      </w:r>
      <w:r w:rsidRPr="000D077C">
        <w:rPr>
          <w:rStyle w:val="italicas"/>
          <w:rFonts w:ascii="Arial" w:hAnsi="Arial" w:cs="Arial"/>
          <w:sz w:val="22"/>
          <w:szCs w:val="22"/>
        </w:rPr>
        <w:t>todos</w:t>
      </w:r>
      <w:r w:rsidRPr="000D077C">
        <w:rPr>
          <w:rFonts w:ascii="Arial" w:hAnsi="Arial" w:cs="Arial"/>
          <w:sz w:val="22"/>
          <w:szCs w:val="22"/>
        </w:rPr>
        <w:t xml:space="preserve"> indica con mayor precisión que en todos los casos los comités deben integrarse por miembros de la comunidad científica, tecnológica y empresarial, a fin de que el consejo cumpla la disposición normativa del artículo 6o.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El capítulo III, “Principios orientadores del apoyo a la investigación científica, desarrollo tecnológico e innovación”, de la ley contiene un artículo donde especifica los principios sobre los cuales el gobierno federal cumplirá la obligación de apoyar la investigación científica, el desarrollo tecnológico y la innovación; entre ellos, el siguiente:</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Artículo 12.</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Los principios que regirán el apoyo que el gobierno federal está obligado a otorgar para fomentar, desarrollar y fortalecer en general la investigación científica, el desarrollo tecnológico y la innovación, así como en particular las actividades de investigación que realicen las dependencias y entidades de la administración pública federal, serán los siguientes:</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III.</w:t>
      </w:r>
      <w:r w:rsidRPr="000D077C">
        <w:rPr>
          <w:rFonts w:ascii="Arial" w:hAnsi="Arial" w:cs="Arial"/>
          <w:sz w:val="22"/>
          <w:szCs w:val="22"/>
        </w:rPr>
        <w:t xml:space="preserve"> La toma de decisiones, desde la determinación de políticas generales y presupuestales en materia de ciencia, tecnología e innovación hasta las orientaciones de asignación de recursos a proyectos específicos, se llevará a cabo con la participación de las comunidades científica, académica, tecnológica y del sector productivo y de servicios;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En la última parte de la iniciativa que se somete a esta comisión se propone modificar la fracción V del artículo 13 de la ley, la cual establece lo siguiente:</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Artículo 13.</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El gobierno federal apoyará la investigación científica, el desarrollo tecnológico y la innovación mediante los siguientes instrumentos:</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V.</w:t>
      </w:r>
      <w:r w:rsidRPr="000D077C">
        <w:rPr>
          <w:rFonts w:ascii="Arial" w:hAnsi="Arial" w:cs="Arial"/>
          <w:sz w:val="22"/>
          <w:szCs w:val="22"/>
        </w:rPr>
        <w:t xml:space="preserve"> Vincular la educación científica y tecnológica con los sectores productivos y de servicios;</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La iniciativa del diputado Gerardo del Mazo contiene lo siguiente:</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V.</w:t>
      </w:r>
      <w:r w:rsidRPr="000D077C">
        <w:rPr>
          <w:rFonts w:ascii="Arial" w:hAnsi="Arial" w:cs="Arial"/>
          <w:sz w:val="22"/>
          <w:szCs w:val="22"/>
        </w:rPr>
        <w:t xml:space="preserve"> Vincular la educación científica y tecnológica con los sectores productivos y de servicios</w:t>
      </w:r>
      <w:r w:rsidRPr="000D077C">
        <w:rPr>
          <w:rStyle w:val="negritas"/>
          <w:rFonts w:ascii="Arial" w:hAnsi="Arial" w:cs="Arial"/>
          <w:sz w:val="22"/>
          <w:szCs w:val="22"/>
        </w:rPr>
        <w:t xml:space="preserve">, por medio de comités de vinculación regulados por el Consejo </w:t>
      </w:r>
      <w:proofErr w:type="gramStart"/>
      <w:r w:rsidRPr="000D077C">
        <w:rPr>
          <w:rStyle w:val="negritas"/>
          <w:rFonts w:ascii="Arial" w:hAnsi="Arial" w:cs="Arial"/>
          <w:sz w:val="22"/>
          <w:szCs w:val="22"/>
        </w:rPr>
        <w:t>General</w:t>
      </w:r>
      <w:r w:rsidRPr="000D077C">
        <w:rPr>
          <w:rFonts w:ascii="Arial" w:hAnsi="Arial" w:cs="Arial"/>
          <w:sz w:val="22"/>
          <w:szCs w:val="22"/>
        </w:rPr>
        <w:t xml:space="preserve"> ;</w:t>
      </w:r>
      <w:proofErr w:type="gramEnd"/>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 xml:space="preserve">El capítulo donde se encuentra contenido este artículo se denomina “Instrumentos de apoyo a la investigación científica, el desarrollo tecnológico y la innovación”. La fracción V reflejaba un vacío en su redacción, pues </w:t>
      </w:r>
      <w:proofErr w:type="spellStart"/>
      <w:r w:rsidRPr="000D077C">
        <w:rPr>
          <w:rFonts w:ascii="Arial" w:hAnsi="Arial" w:cs="Arial"/>
          <w:sz w:val="22"/>
          <w:szCs w:val="22"/>
        </w:rPr>
        <w:t>aún</w:t>
      </w:r>
      <w:proofErr w:type="spellEnd"/>
      <w:r w:rsidRPr="000D077C">
        <w:rPr>
          <w:rFonts w:ascii="Arial" w:hAnsi="Arial" w:cs="Arial"/>
          <w:sz w:val="22"/>
          <w:szCs w:val="22"/>
        </w:rPr>
        <w:t xml:space="preserve"> cuando la vinculación se considere un elemento clave para el desarrollo, no se establecía el instrumento específico para lograr el objetivo.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Por su parte, el Programa Especial de Ciencia, Tecnología e Innovación como elemento de su política general de apoyo a la ciencia y la tecnología establece:</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lastRenderedPageBreak/>
        <w:t>Artículo 21.</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El programa deberá contener cuando menos los siguientes aspectos:</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II.</w:t>
      </w:r>
      <w:r w:rsidRPr="000D077C">
        <w:rPr>
          <w:rFonts w:ascii="Arial" w:hAnsi="Arial" w:cs="Arial"/>
          <w:sz w:val="22"/>
          <w:szCs w:val="22"/>
        </w:rPr>
        <w:t xml:space="preserve"> Diagnósticos, políticas, estrategias, indicadores y acciones prioritarias en materia de</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c)</w:t>
      </w:r>
      <w:r w:rsidRPr="000D077C">
        <w:rPr>
          <w:rFonts w:ascii="Arial" w:hAnsi="Arial" w:cs="Arial"/>
          <w:sz w:val="22"/>
          <w:szCs w:val="22"/>
        </w:rPr>
        <w:t xml:space="preserve"> Difusión del conocimiento científico y tecnológico y su vinculación con los sectores productivos y de servicios,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Para concluir el análisis de esta iniciativa, hay un capítulo en la ley referido a la “vinculación del sector productivo y de servicios con la investigación científica, el desarrollo tecnológico y la innovación”. El artículo 40 de este capítulo establece:</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Artículo 40.</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Para la creación y la operación de los instrumentos de fomento a que se refiere esta ley, se concederá prioridad a los proyectos cuyo propósito sea promover la modernización, la innovación y el desarrollo tecnológicos que estén vinculados con empresas o entidades usuarias de la tecnología, en especial con la pequeña y mediana empresa.</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De igual forma serán prioritarios los proyectos que se propongan lograr un uso racional, más eficiente y ecológicamente sustentable de los recursos naturales, las asociaciones cuyo propósito sea la creación y funcionamiento de redes científicas y tecnológicas, así como los proyectos para la vinculación entre la investigación científica y tecnológica con los sectores productivos y de servicios que incidan en la mejora de la productividad y la competitividad de la industria nacional.</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Como se observa, en este artículo se establece una relación directa con el artículo 13 de la ley en cuestión y complementa los argumentos referidos para aprobar las modificaciones de la iniciativa que se analiza, ya que indica que se dará prioridad a los proyectos que promuevan la modernización, la innovación y el desarrollo tecnológicos que estén vinculados con empresas o entidades usuarias de la tecnología, especialmente con la pequeña y mediana empresa.</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Con base en las consideraciones expuestas, los integrantes de la Comisión de Ciencia y Tecnología sometemos a consideración del pleno de la Cámara de Diputados del Congreso de la Unión el siguiente proyecto de</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Decreto por el que se reforman y adicionan los artículos 6o., 8o. y 13 a la Ley de Ciencia y Tecnología</w:t>
      </w:r>
      <w:r w:rsidRPr="000D077C">
        <w:rPr>
          <w:rFonts w:ascii="Arial" w:hAnsi="Arial" w:cs="Arial"/>
          <w:sz w:val="22"/>
          <w:szCs w:val="22"/>
        </w:rPr>
        <w:t xml:space="preserve"> </w:t>
      </w:r>
    </w:p>
    <w:p w:rsidR="00B24756" w:rsidRPr="000D077C" w:rsidRDefault="00B24756" w:rsidP="00B24756">
      <w:pPr>
        <w:pStyle w:val="NormalWeb"/>
        <w:rPr>
          <w:rFonts w:ascii="Arial" w:hAnsi="Arial" w:cs="Arial"/>
          <w:sz w:val="22"/>
          <w:szCs w:val="22"/>
        </w:rPr>
      </w:pPr>
      <w:r w:rsidRPr="000D077C">
        <w:rPr>
          <w:rStyle w:val="negritas"/>
          <w:rFonts w:ascii="Arial" w:hAnsi="Arial" w:cs="Arial"/>
          <w:sz w:val="22"/>
          <w:szCs w:val="22"/>
        </w:rPr>
        <w:t>Artículo Único.</w:t>
      </w:r>
      <w:r w:rsidRPr="000D077C">
        <w:rPr>
          <w:rFonts w:ascii="Arial" w:hAnsi="Arial" w:cs="Arial"/>
          <w:sz w:val="22"/>
          <w:szCs w:val="22"/>
        </w:rPr>
        <w:t xml:space="preserve"> Se reforman los artículos 8o. y 13, fracción V, y se adiciona el 6o., con una fracción XII, a la Ley de Ciencia y Tecnología, para quedar como sigue:</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Artículo 6o.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lastRenderedPageBreak/>
        <w:t>...</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 xml:space="preserve">I. a </w:t>
      </w:r>
      <w:r w:rsidRPr="000D077C">
        <w:rPr>
          <w:rStyle w:val="negritas"/>
          <w:rFonts w:ascii="Arial" w:hAnsi="Arial" w:cs="Arial"/>
          <w:sz w:val="22"/>
          <w:szCs w:val="22"/>
        </w:rPr>
        <w:t>IX.</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X.</w:t>
      </w:r>
      <w:r w:rsidRPr="000D077C">
        <w:rPr>
          <w:rFonts w:ascii="Arial" w:hAnsi="Arial" w:cs="Arial"/>
          <w:sz w:val="22"/>
          <w:szCs w:val="22"/>
        </w:rPr>
        <w:t xml:space="preserve"> Definir y aprobar los lineamientos generales del parque científico y tecnológico, espacio físico en que se aglutinará la infraestructura y equipamiento científico del más alto nivel, así como el conjunto de los proyectos prioritarios de la ciencia y la tecnología mexicana</w:t>
      </w:r>
      <w:r w:rsidRPr="000D077C">
        <w:rPr>
          <w:rStyle w:val="negritas"/>
          <w:rFonts w:ascii="Arial" w:hAnsi="Arial" w:cs="Arial"/>
          <w:sz w:val="22"/>
          <w:szCs w:val="22"/>
        </w:rPr>
        <w:t>;</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Style w:val="negritas"/>
          <w:rFonts w:ascii="Arial" w:hAnsi="Arial" w:cs="Arial"/>
          <w:sz w:val="22"/>
          <w:szCs w:val="22"/>
        </w:rPr>
        <w:t>XI.</w:t>
      </w:r>
      <w:r w:rsidRPr="000D077C">
        <w:rPr>
          <w:rFonts w:ascii="Arial" w:hAnsi="Arial" w:cs="Arial"/>
          <w:sz w:val="22"/>
          <w:szCs w:val="22"/>
        </w:rPr>
        <w:t xml:space="preserve"> Realizar el seguimiento y conocer la evaluación general del programa especial, del programa y del presupuesto anual destinado a la ciencia, la tecnología y la innovación y de los demás instrumentos de apoyo a estas actividades</w:t>
      </w:r>
      <w:r w:rsidRPr="000D077C">
        <w:rPr>
          <w:rStyle w:val="negritas"/>
          <w:rFonts w:ascii="Arial" w:hAnsi="Arial" w:cs="Arial"/>
          <w:sz w:val="22"/>
          <w:szCs w:val="22"/>
        </w:rPr>
        <w:t>; y</w:t>
      </w:r>
      <w:r w:rsidRPr="000D077C">
        <w:rPr>
          <w:rFonts w:ascii="Arial" w:hAnsi="Arial" w:cs="Arial"/>
          <w:sz w:val="22"/>
          <w:szCs w:val="22"/>
        </w:rPr>
        <w:t xml:space="preserve">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XII. Crear comités de vinculación, los cuales tendrán el objetivo de impulsar y crear las condiciones necesarias para la vinculación de la investigación con la educación, la innovación y el desarrollo tecnológico con los sectores productivos y de servicios.</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Artículo 8o.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 xml:space="preserve">El Consejo General deberá crear comités intersectoriales y de vinculación para atender los asuntos que el mismo consejo determine relacionados con la articulación de políticas, la propuesta de programas prioritarios y áreas estratégicas, así como para la vinculación de la investigación con la educación, la innovación y el desarrollo tecnológico con los sectores productivos y de servicios. Salvo el comité a que se refiere el artículo 41, estos comités serán coordinados por el secretario ejecutivo, los que contarán con el apoyo del </w:t>
      </w:r>
      <w:proofErr w:type="spellStart"/>
      <w:r w:rsidRPr="000D077C">
        <w:rPr>
          <w:rFonts w:ascii="Arial" w:hAnsi="Arial" w:cs="Arial"/>
          <w:sz w:val="22"/>
          <w:szCs w:val="22"/>
        </w:rPr>
        <w:t>Conacyt</w:t>
      </w:r>
      <w:proofErr w:type="spellEnd"/>
      <w:r w:rsidRPr="000D077C">
        <w:rPr>
          <w:rFonts w:ascii="Arial" w:hAnsi="Arial" w:cs="Arial"/>
          <w:sz w:val="22"/>
          <w:szCs w:val="22"/>
        </w:rPr>
        <w:t xml:space="preserve"> para su eficiente funcionamiento. En todos los comités participarán miembros de la comunidad científica, tecnológica y empresarial.</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Artículo 13.</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I. a IV. ...</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V. Vincular la educación científica y tecnológica con los sectores productivos y de servicios, por medio de comités de vinculación regulados por el Consejo General.</w:t>
      </w:r>
    </w:p>
    <w:p w:rsidR="00B24756" w:rsidRPr="000D077C" w:rsidRDefault="00B24756" w:rsidP="00B24756">
      <w:pPr>
        <w:pStyle w:val="sangria"/>
        <w:rPr>
          <w:rFonts w:ascii="Arial" w:hAnsi="Arial" w:cs="Arial"/>
          <w:sz w:val="22"/>
          <w:szCs w:val="22"/>
        </w:rPr>
      </w:pPr>
      <w:r w:rsidRPr="000D077C">
        <w:rPr>
          <w:rFonts w:ascii="Arial" w:hAnsi="Arial" w:cs="Arial"/>
          <w:sz w:val="22"/>
          <w:szCs w:val="22"/>
        </w:rPr>
        <w:t>VI. a VIII. ...</w:t>
      </w:r>
    </w:p>
    <w:p w:rsidR="00B24756" w:rsidRPr="000D077C" w:rsidRDefault="00B24756" w:rsidP="00B24756">
      <w:pPr>
        <w:pStyle w:val="centrar"/>
        <w:rPr>
          <w:rFonts w:ascii="Arial" w:hAnsi="Arial" w:cs="Arial"/>
          <w:sz w:val="22"/>
          <w:szCs w:val="22"/>
        </w:rPr>
      </w:pPr>
      <w:r w:rsidRPr="000D077C">
        <w:rPr>
          <w:rFonts w:ascii="Arial" w:hAnsi="Arial" w:cs="Arial"/>
          <w:sz w:val="22"/>
          <w:szCs w:val="22"/>
        </w:rPr>
        <w:t>Transitorio</w:t>
      </w:r>
    </w:p>
    <w:p w:rsidR="00B24756" w:rsidRPr="000D077C" w:rsidRDefault="00B24756" w:rsidP="00B24756">
      <w:pPr>
        <w:pStyle w:val="NormalWeb"/>
        <w:rPr>
          <w:rFonts w:ascii="Arial" w:hAnsi="Arial" w:cs="Arial"/>
          <w:sz w:val="22"/>
          <w:szCs w:val="22"/>
        </w:rPr>
      </w:pPr>
      <w:r w:rsidRPr="000D077C">
        <w:rPr>
          <w:rFonts w:ascii="Arial" w:hAnsi="Arial" w:cs="Arial"/>
          <w:sz w:val="22"/>
          <w:szCs w:val="22"/>
        </w:rPr>
        <w:t>Único. El presente decreto entrará en vigor el día siguiente al de su publicación en el Diario Oficial de la Federación.</w:t>
      </w:r>
    </w:p>
    <w:p w:rsidR="00B24756" w:rsidRPr="000D077C" w:rsidRDefault="00B24756" w:rsidP="00B24756">
      <w:pPr>
        <w:pStyle w:val="derecha"/>
        <w:rPr>
          <w:rFonts w:ascii="Arial" w:hAnsi="Arial" w:cs="Arial"/>
          <w:sz w:val="22"/>
          <w:szCs w:val="22"/>
        </w:rPr>
      </w:pPr>
      <w:r w:rsidRPr="000D077C">
        <w:rPr>
          <w:rFonts w:ascii="Arial" w:hAnsi="Arial" w:cs="Arial"/>
          <w:sz w:val="22"/>
          <w:szCs w:val="22"/>
        </w:rPr>
        <w:t>Palacio Legislativo de San Lázaro, a 17 de agosto de 2011.</w:t>
      </w:r>
    </w:p>
    <w:p w:rsidR="00B24756" w:rsidRPr="000D077C" w:rsidRDefault="00B24756" w:rsidP="00B24756">
      <w:pPr>
        <w:pStyle w:val="firmas"/>
        <w:rPr>
          <w:rFonts w:ascii="Arial" w:hAnsi="Arial" w:cs="Arial"/>
        </w:rPr>
      </w:pPr>
      <w:r w:rsidRPr="000D077C">
        <w:rPr>
          <w:rStyle w:val="negritas"/>
          <w:rFonts w:ascii="Arial" w:hAnsi="Arial" w:cs="Arial"/>
        </w:rPr>
        <w:t>La Comisión de Ciencia y Tecnología</w:t>
      </w:r>
      <w:r w:rsidRPr="000D077C">
        <w:rPr>
          <w:rFonts w:ascii="Arial" w:hAnsi="Arial" w:cs="Arial"/>
        </w:rPr>
        <w:t xml:space="preserve"> </w:t>
      </w:r>
    </w:p>
    <w:p w:rsidR="00B24756" w:rsidRPr="000D077C" w:rsidRDefault="00B24756" w:rsidP="00B24756">
      <w:pPr>
        <w:pStyle w:val="firmas"/>
        <w:rPr>
          <w:rFonts w:ascii="Arial" w:hAnsi="Arial" w:cs="Arial"/>
        </w:rPr>
      </w:pPr>
      <w:r w:rsidRPr="000D077C">
        <w:rPr>
          <w:rStyle w:val="negritas"/>
          <w:rFonts w:ascii="Arial" w:hAnsi="Arial" w:cs="Arial"/>
        </w:rPr>
        <w:t>Diputados:</w:t>
      </w:r>
      <w:r w:rsidRPr="000D077C">
        <w:rPr>
          <w:rFonts w:ascii="Arial" w:hAnsi="Arial" w:cs="Arial"/>
        </w:rPr>
        <w:t xml:space="preserve"> Reyes Tamez Guerra (rúbrica), presidente; Blanca Juana Soria Morales (rúbrica), Alejandro Bahena Flores (rúbrica), Guadalupe Eduardo Robles Medina (rúbrica), Rodolfo Lara Lagunas (rúbrica), Óscar Román Rosas González, </w:t>
      </w:r>
      <w:r w:rsidRPr="000D077C">
        <w:rPr>
          <w:rFonts w:ascii="Arial" w:hAnsi="Arial" w:cs="Arial"/>
        </w:rPr>
        <w:lastRenderedPageBreak/>
        <w:t xml:space="preserve">secretarios; Pedro Ávila </w:t>
      </w:r>
      <w:proofErr w:type="spellStart"/>
      <w:r w:rsidRPr="000D077C">
        <w:rPr>
          <w:rFonts w:ascii="Arial" w:hAnsi="Arial" w:cs="Arial"/>
        </w:rPr>
        <w:t>Nevárez</w:t>
      </w:r>
      <w:proofErr w:type="spellEnd"/>
      <w:r w:rsidRPr="000D077C">
        <w:rPr>
          <w:rFonts w:ascii="Arial" w:hAnsi="Arial" w:cs="Arial"/>
        </w:rPr>
        <w:t xml:space="preserve"> (rúbrica), Alejandro del Mazo Maza (rúbrica), José Alberto González Morales, Tomás Gutiérrez Ramírez, Juan Enrique Ibarra Pedroza, Aarón </w:t>
      </w:r>
      <w:proofErr w:type="spellStart"/>
      <w:r w:rsidRPr="000D077C">
        <w:rPr>
          <w:rFonts w:ascii="Arial" w:hAnsi="Arial" w:cs="Arial"/>
        </w:rPr>
        <w:t>Irízar</w:t>
      </w:r>
      <w:proofErr w:type="spellEnd"/>
      <w:r w:rsidRPr="000D077C">
        <w:rPr>
          <w:rFonts w:ascii="Arial" w:hAnsi="Arial" w:cs="Arial"/>
        </w:rPr>
        <w:t xml:space="preserve"> López (rúbrica), José Francisco Javier Landero Gutiérrez (rúbrica), Óscar Lara Salazar, Ana Luz Lobato Ramírez (rúbrica), Oralia López Hernández, José Trinidad Padilla López, César Octavio Pedroza Gaitán, María Isabel Pérez Santos, Jorge Romero </w:t>
      </w:r>
      <w:proofErr w:type="spellStart"/>
      <w:r w:rsidRPr="000D077C">
        <w:rPr>
          <w:rFonts w:ascii="Arial" w:hAnsi="Arial" w:cs="Arial"/>
        </w:rPr>
        <w:t>Romero</w:t>
      </w:r>
      <w:proofErr w:type="spellEnd"/>
      <w:r w:rsidRPr="000D077C">
        <w:rPr>
          <w:rFonts w:ascii="Arial" w:hAnsi="Arial" w:cs="Arial"/>
        </w:rPr>
        <w:t xml:space="preserve"> (rúbrica), José Luis Velasco Lino (rúbrica), José Antonio </w:t>
      </w:r>
      <w:proofErr w:type="spellStart"/>
      <w:r w:rsidRPr="000D077C">
        <w:rPr>
          <w:rFonts w:ascii="Arial" w:hAnsi="Arial" w:cs="Arial"/>
        </w:rPr>
        <w:t>Yglesias</w:t>
      </w:r>
      <w:proofErr w:type="spellEnd"/>
      <w:r w:rsidRPr="000D077C">
        <w:rPr>
          <w:rFonts w:ascii="Arial" w:hAnsi="Arial" w:cs="Arial"/>
        </w:rPr>
        <w:t xml:space="preserve"> Arreola.</w:t>
      </w:r>
    </w:p>
    <w:bookmarkEnd w:id="0"/>
    <w:p w:rsidR="00B24756" w:rsidRPr="000D077C" w:rsidRDefault="00B24756">
      <w:pPr>
        <w:rPr>
          <w:rFonts w:ascii="Arial" w:hAnsi="Arial" w:cs="Arial"/>
        </w:rPr>
      </w:pPr>
    </w:p>
    <w:sectPr w:rsidR="00B24756" w:rsidRPr="000D07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56"/>
    <w:rsid w:val="000D077C"/>
    <w:rsid w:val="00B24756"/>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475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B2475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B247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B2475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B2475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B2475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24756"/>
    <w:rPr>
      <w:b/>
      <w:bCs/>
    </w:rPr>
  </w:style>
  <w:style w:type="character" w:customStyle="1" w:styleId="italicas">
    <w:name w:val="italicas"/>
    <w:basedOn w:val="Fuentedeprrafopredeter"/>
    <w:rsid w:val="00B247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4756"/>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B24756"/>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B2475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B24756"/>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B24756"/>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B24756"/>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B24756"/>
    <w:rPr>
      <w:b/>
      <w:bCs/>
    </w:rPr>
  </w:style>
  <w:style w:type="character" w:customStyle="1" w:styleId="italicas">
    <w:name w:val="italicas"/>
    <w:basedOn w:val="Fuentedeprrafopredeter"/>
    <w:rsid w:val="00B247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2776">
      <w:bodyDiv w:val="1"/>
      <w:marLeft w:val="150"/>
      <w:marRight w:val="150"/>
      <w:marTop w:val="0"/>
      <w:marBottom w:val="0"/>
      <w:divBdr>
        <w:top w:val="none" w:sz="0" w:space="0" w:color="auto"/>
        <w:left w:val="none" w:sz="0" w:space="0" w:color="auto"/>
        <w:bottom w:val="none" w:sz="0" w:space="0" w:color="auto"/>
        <w:right w:val="none" w:sz="0" w:space="0" w:color="auto"/>
      </w:divBdr>
      <w:divsChild>
        <w:div w:id="2135518207">
          <w:marLeft w:val="0"/>
          <w:marRight w:val="0"/>
          <w:marTop w:val="0"/>
          <w:marBottom w:val="0"/>
          <w:divBdr>
            <w:top w:val="none" w:sz="0" w:space="0" w:color="auto"/>
            <w:left w:val="none" w:sz="0" w:space="0" w:color="auto"/>
            <w:bottom w:val="none" w:sz="0" w:space="0" w:color="auto"/>
            <w:right w:val="none" w:sz="0" w:space="0" w:color="auto"/>
          </w:divBdr>
          <w:divsChild>
            <w:div w:id="492448574">
              <w:marLeft w:val="0"/>
              <w:marRight w:val="0"/>
              <w:marTop w:val="0"/>
              <w:marBottom w:val="0"/>
              <w:divBdr>
                <w:top w:val="none" w:sz="0" w:space="0" w:color="auto"/>
                <w:left w:val="none" w:sz="0" w:space="0" w:color="auto"/>
                <w:bottom w:val="none" w:sz="0" w:space="0" w:color="auto"/>
                <w:right w:val="none" w:sz="0" w:space="0" w:color="auto"/>
              </w:divBdr>
              <w:divsChild>
                <w:div w:id="1541547959">
                  <w:marLeft w:val="0"/>
                  <w:marRight w:val="0"/>
                  <w:marTop w:val="1500"/>
                  <w:marBottom w:val="0"/>
                  <w:divBdr>
                    <w:top w:val="none" w:sz="0" w:space="0" w:color="auto"/>
                    <w:left w:val="none" w:sz="0" w:space="0" w:color="auto"/>
                    <w:bottom w:val="none" w:sz="0" w:space="0" w:color="auto"/>
                    <w:right w:val="none" w:sz="0" w:space="0" w:color="auto"/>
                  </w:divBdr>
                  <w:divsChild>
                    <w:div w:id="1440223372">
                      <w:marLeft w:val="0"/>
                      <w:marRight w:val="0"/>
                      <w:marTop w:val="1500"/>
                      <w:marBottom w:val="0"/>
                      <w:divBdr>
                        <w:top w:val="none" w:sz="0" w:space="0" w:color="auto"/>
                        <w:left w:val="none" w:sz="0" w:space="0" w:color="auto"/>
                        <w:bottom w:val="none" w:sz="0" w:space="0" w:color="auto"/>
                        <w:right w:val="none" w:sz="0" w:space="0" w:color="auto"/>
                      </w:divBdr>
                      <w:divsChild>
                        <w:div w:id="1673489885">
                          <w:marLeft w:val="0"/>
                          <w:marRight w:val="0"/>
                          <w:marTop w:val="1500"/>
                          <w:marBottom w:val="0"/>
                          <w:divBdr>
                            <w:top w:val="none" w:sz="0" w:space="0" w:color="auto"/>
                            <w:left w:val="none" w:sz="0" w:space="0" w:color="auto"/>
                            <w:bottom w:val="none" w:sz="0" w:space="0" w:color="auto"/>
                            <w:right w:val="none" w:sz="0" w:space="0" w:color="auto"/>
                          </w:divBdr>
                          <w:divsChild>
                            <w:div w:id="1151798782">
                              <w:marLeft w:val="0"/>
                              <w:marRight w:val="0"/>
                              <w:marTop w:val="1500"/>
                              <w:marBottom w:val="0"/>
                              <w:divBdr>
                                <w:top w:val="none" w:sz="0" w:space="0" w:color="auto"/>
                                <w:left w:val="none" w:sz="0" w:space="0" w:color="auto"/>
                                <w:bottom w:val="none" w:sz="0" w:space="0" w:color="auto"/>
                                <w:right w:val="none" w:sz="0" w:space="0" w:color="auto"/>
                              </w:divBdr>
                              <w:divsChild>
                                <w:div w:id="201348597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3498</Words>
  <Characters>19241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2011-11-03T20:11:00Z</dcterms:created>
  <dcterms:modified xsi:type="dcterms:W3CDTF">2011-11-03T23:22:00Z</dcterms:modified>
</cp:coreProperties>
</file>