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13" w:rsidRPr="00BA03CA" w:rsidRDefault="004C6B13" w:rsidP="004C6B13">
      <w:pPr>
        <w:pStyle w:val="versales"/>
        <w:rPr>
          <w:rFonts w:ascii="Arial" w:hAnsi="Arial" w:cs="Arial"/>
          <w:color w:val="auto"/>
        </w:rPr>
      </w:pPr>
      <w:bookmarkStart w:id="0" w:name="DictamenNOIni8"/>
      <w:bookmarkStart w:id="1" w:name="_GoBack"/>
      <w:r w:rsidRPr="00BA03CA">
        <w:rPr>
          <w:rFonts w:ascii="Arial" w:hAnsi="Arial" w:cs="Arial"/>
          <w:color w:val="auto"/>
        </w:rPr>
        <w:t xml:space="preserve">De la Comisión de la Función Pública, con puntos de acuerdo por los que se desecha la iniciativa con proyecto de decreto que reforma los artículos 51 de la Ley de Adquisiciones, Arrendamientos y Servicios del Sector Público y 55 de la Ley de Obras Públicas y Servicios Relacionados con las Mismas </w:t>
      </w:r>
    </w:p>
    <w:p w:rsidR="004C6B13" w:rsidRPr="00BA03CA" w:rsidRDefault="004C6B13" w:rsidP="004C6B13">
      <w:pPr>
        <w:pStyle w:val="NormalWeb"/>
        <w:rPr>
          <w:rFonts w:ascii="Arial" w:hAnsi="Arial" w:cs="Arial"/>
          <w:sz w:val="22"/>
          <w:szCs w:val="22"/>
        </w:rPr>
      </w:pPr>
      <w:r w:rsidRPr="00BA03CA">
        <w:rPr>
          <w:rStyle w:val="negritas"/>
          <w:rFonts w:ascii="Arial" w:hAnsi="Arial" w:cs="Arial"/>
          <w:sz w:val="22"/>
          <w:szCs w:val="22"/>
        </w:rPr>
        <w:t>Honorable Asamblea:</w:t>
      </w:r>
      <w:r w:rsidRPr="00BA03CA">
        <w:rPr>
          <w:rFonts w:ascii="Arial" w:hAnsi="Arial" w:cs="Arial"/>
          <w:sz w:val="22"/>
          <w:szCs w:val="22"/>
        </w:rPr>
        <w:t xml:space="preserve"> </w:t>
      </w:r>
    </w:p>
    <w:p w:rsidR="004C6B13" w:rsidRPr="00BA03CA" w:rsidRDefault="004C6B13" w:rsidP="004C6B13">
      <w:pPr>
        <w:pStyle w:val="NormalWeb"/>
        <w:rPr>
          <w:rFonts w:ascii="Arial" w:hAnsi="Arial" w:cs="Arial"/>
          <w:sz w:val="22"/>
          <w:szCs w:val="22"/>
        </w:rPr>
      </w:pPr>
      <w:r w:rsidRPr="00BA03CA">
        <w:rPr>
          <w:rFonts w:ascii="Arial" w:hAnsi="Arial" w:cs="Arial"/>
          <w:sz w:val="22"/>
          <w:szCs w:val="22"/>
        </w:rPr>
        <w:t>La Comisión de la Función Pública de la Cámara de Diputados, dictaminando de forma única, con fundamento en lo dispuesto en los artículos 39, numerales 1 y 2, fracción XVIII, y 45, numeral 6, incisos e) y f), de la Ley Orgánica del Congreso General de los Estados Unidos Mexicanos; 80, 82, 84, 85, 176, 177, 180, 182, 183, 187, 188, 190, 191 y demás aplicables del Reglamento de la Cámara de Diputados, presenta a la honorable asamblea el siguiente dictamen, de la iniciativa con proyecto de decreto que reforma y adiciona los artículos 51 de la Ley de Adquisiciones, Arrendamientos y Servicios del Sector Público, y 55 de la Ley de Obras Públicas y Servicios Relacionados con las Mismas:</w:t>
      </w:r>
    </w:p>
    <w:p w:rsidR="004C6B13" w:rsidRPr="00BA03CA" w:rsidRDefault="004C6B13" w:rsidP="004C6B13">
      <w:pPr>
        <w:pStyle w:val="centrar"/>
        <w:rPr>
          <w:rFonts w:ascii="Arial" w:hAnsi="Arial" w:cs="Arial"/>
          <w:sz w:val="22"/>
          <w:szCs w:val="22"/>
        </w:rPr>
      </w:pPr>
      <w:r w:rsidRPr="00BA03CA">
        <w:rPr>
          <w:rFonts w:ascii="Arial" w:hAnsi="Arial" w:cs="Arial"/>
          <w:sz w:val="22"/>
          <w:szCs w:val="22"/>
        </w:rPr>
        <w:t>Antecedentes</w:t>
      </w:r>
    </w:p>
    <w:p w:rsidR="004C6B13" w:rsidRPr="00BA03CA" w:rsidRDefault="004C6B13" w:rsidP="004C6B13">
      <w:pPr>
        <w:pStyle w:val="NormalWeb"/>
        <w:rPr>
          <w:rFonts w:ascii="Arial" w:hAnsi="Arial" w:cs="Arial"/>
          <w:sz w:val="22"/>
          <w:szCs w:val="22"/>
        </w:rPr>
      </w:pPr>
      <w:r w:rsidRPr="00BA03CA">
        <w:rPr>
          <w:rFonts w:ascii="Arial" w:hAnsi="Arial" w:cs="Arial"/>
          <w:sz w:val="22"/>
          <w:szCs w:val="22"/>
        </w:rPr>
        <w:t xml:space="preserve">1. El 16 de octubre de 2007 fue presentada ante el pleno de la Cámara de Diputados del Congreso de la Unión, por la diputada Mónica </w:t>
      </w:r>
      <w:proofErr w:type="spellStart"/>
      <w:r w:rsidRPr="00BA03CA">
        <w:rPr>
          <w:rFonts w:ascii="Arial" w:hAnsi="Arial" w:cs="Arial"/>
          <w:sz w:val="22"/>
          <w:szCs w:val="22"/>
        </w:rPr>
        <w:t>Tzasna</w:t>
      </w:r>
      <w:proofErr w:type="spellEnd"/>
      <w:r w:rsidRPr="00BA03CA">
        <w:rPr>
          <w:rFonts w:ascii="Arial" w:hAnsi="Arial" w:cs="Arial"/>
          <w:sz w:val="22"/>
          <w:szCs w:val="22"/>
        </w:rPr>
        <w:t xml:space="preserve"> Arriola Gordillo, del Grupo Parlamentario de Nueva Alianza, la iniciativa con proyecto de decreto que reforma y adiciona los artículos 51 de la Ley de Adquisiciones, Arrendamientos y Servicios del Sector Público, y 55 de la Ley de Obras Públicas y Servicios Relacionados con las Mismas.</w:t>
      </w:r>
    </w:p>
    <w:p w:rsidR="004C6B13" w:rsidRPr="00BA03CA" w:rsidRDefault="004C6B13" w:rsidP="004C6B13">
      <w:pPr>
        <w:pStyle w:val="NormalWeb"/>
        <w:rPr>
          <w:rFonts w:ascii="Arial" w:hAnsi="Arial" w:cs="Arial"/>
          <w:sz w:val="22"/>
          <w:szCs w:val="22"/>
        </w:rPr>
      </w:pPr>
      <w:r w:rsidRPr="00BA03CA">
        <w:rPr>
          <w:rFonts w:ascii="Arial" w:hAnsi="Arial" w:cs="Arial"/>
          <w:sz w:val="22"/>
          <w:szCs w:val="22"/>
        </w:rPr>
        <w:t>2. Con fecha 16 de octubre de 2007, la Presidencia de la Mesa Directiva de la Cámara de Diputados del Congreso de la Unión la turnó para análisis y dictamen a la Comisión de la Función Pública, con el número de expediente 2561.</w:t>
      </w:r>
    </w:p>
    <w:p w:rsidR="004C6B13" w:rsidRPr="00BA03CA" w:rsidRDefault="004C6B13" w:rsidP="004C6B13">
      <w:pPr>
        <w:pStyle w:val="NormalWeb"/>
        <w:rPr>
          <w:rFonts w:ascii="Arial" w:hAnsi="Arial" w:cs="Arial"/>
          <w:sz w:val="22"/>
          <w:szCs w:val="22"/>
        </w:rPr>
      </w:pPr>
      <w:r w:rsidRPr="00BA03CA">
        <w:rPr>
          <w:rFonts w:ascii="Arial" w:hAnsi="Arial" w:cs="Arial"/>
          <w:sz w:val="22"/>
          <w:szCs w:val="22"/>
        </w:rPr>
        <w:t>3. La iniciativa pretende reformar los artículos 55 de la Ley de Obras Públicas y Servicios Relacionados, y 51 de la Ley de Adquisiciones, Arrendamientos y Servicios del Sector Público, a fin de evitar que en los contratos en lo particular se pueda modificar o renunciar la obligación del Estado de pagar los gastos financieros en los que incurra, con la consideración que lo dispuesto en ambas leyes, ya que son disposiciones de orden público y no quedan al albedrío de las partes su modificación o renuncia por pacto, incluso expreso posterior.</w:t>
      </w:r>
    </w:p>
    <w:p w:rsidR="004C6B13" w:rsidRPr="00BA03CA" w:rsidRDefault="004C6B13" w:rsidP="004C6B13">
      <w:pPr>
        <w:pStyle w:val="NormalWeb"/>
        <w:rPr>
          <w:rFonts w:ascii="Arial" w:hAnsi="Arial" w:cs="Arial"/>
          <w:sz w:val="22"/>
          <w:szCs w:val="22"/>
        </w:rPr>
      </w:pPr>
      <w:r w:rsidRPr="00BA03CA">
        <w:rPr>
          <w:rFonts w:ascii="Arial" w:hAnsi="Arial" w:cs="Arial"/>
          <w:sz w:val="22"/>
          <w:szCs w:val="22"/>
        </w:rPr>
        <w:t xml:space="preserve">4. Asimismo, la iniciante señala que “al dejar clara esta disposición, se evita a las partes contratantes accionar tanto la vía administrativa como la judicial para solución de controversias, incurriendo en costos innecesarios e incrementos para ambas partes”, por lo que propone reformar el artículo 51 de la Ley de Adquisiciones, Arrendamientos y Servicios del Sector Público, para quedar como sigue: </w:t>
      </w:r>
      <w:r w:rsidRPr="00BA03CA">
        <w:rPr>
          <w:rStyle w:val="negritas"/>
          <w:rFonts w:ascii="Arial" w:hAnsi="Arial" w:cs="Arial"/>
          <w:sz w:val="22"/>
          <w:szCs w:val="22"/>
        </w:rPr>
        <w:t>Artículo 51.</w:t>
      </w:r>
      <w:r w:rsidRPr="00BA03CA">
        <w:rPr>
          <w:rFonts w:ascii="Arial" w:hAnsi="Arial" w:cs="Arial"/>
          <w:sz w:val="22"/>
          <w:szCs w:val="22"/>
        </w:rPr>
        <w:t xml:space="preserve"> ... En caso de incumplimiento en los pagos a que se refiere el párrafo anterior, la dependencia o entidad, a solicitud del proveedor, deberá pagar gastos financieros conforme a la tasa que será igual a la establecida en la Ley de Ingresos de la Federación en los casos de prórroga para el pago de créditos </w:t>
      </w:r>
      <w:proofErr w:type="spellStart"/>
      <w:r w:rsidRPr="00BA03CA">
        <w:rPr>
          <w:rFonts w:ascii="Arial" w:hAnsi="Arial" w:cs="Arial"/>
          <w:sz w:val="22"/>
          <w:szCs w:val="22"/>
        </w:rPr>
        <w:t>fiscales</w:t>
      </w:r>
      <w:proofErr w:type="gramStart"/>
      <w:r w:rsidRPr="00BA03CA">
        <w:rPr>
          <w:rStyle w:val="negritas"/>
          <w:rFonts w:ascii="Arial" w:hAnsi="Arial" w:cs="Arial"/>
          <w:sz w:val="22"/>
          <w:szCs w:val="22"/>
        </w:rPr>
        <w:t>,sin</w:t>
      </w:r>
      <w:proofErr w:type="spellEnd"/>
      <w:proofErr w:type="gramEnd"/>
      <w:r w:rsidRPr="00BA03CA">
        <w:rPr>
          <w:rStyle w:val="negritas"/>
          <w:rFonts w:ascii="Arial" w:hAnsi="Arial" w:cs="Arial"/>
          <w:sz w:val="22"/>
          <w:szCs w:val="22"/>
        </w:rPr>
        <w:t xml:space="preserve"> que la liquidación de los mismos sea renunciable o modificable por pacto entre las partes</w:t>
      </w:r>
      <w:r w:rsidRPr="00BA03CA">
        <w:rPr>
          <w:rFonts w:ascii="Arial" w:hAnsi="Arial" w:cs="Arial"/>
          <w:sz w:val="22"/>
          <w:szCs w:val="22"/>
        </w:rPr>
        <w:t xml:space="preserve"> . Dichos gastos se calcularán sobre las cantidades no pagadas y se computarán por días naturales desde que se venció el plazo pactado hasta la fecha en que se pongan efectivamente las cantidades a disposición del proveedor.</w:t>
      </w:r>
    </w:p>
    <w:p w:rsidR="004C6B13" w:rsidRPr="00BA03CA" w:rsidRDefault="004C6B13" w:rsidP="004C6B13">
      <w:pPr>
        <w:pStyle w:val="NormalWeb"/>
        <w:rPr>
          <w:rFonts w:ascii="Arial" w:hAnsi="Arial" w:cs="Arial"/>
          <w:sz w:val="22"/>
          <w:szCs w:val="22"/>
        </w:rPr>
      </w:pPr>
      <w:r w:rsidRPr="00BA03CA">
        <w:rPr>
          <w:rFonts w:ascii="Arial" w:hAnsi="Arial" w:cs="Arial"/>
          <w:sz w:val="22"/>
          <w:szCs w:val="22"/>
        </w:rPr>
        <w:lastRenderedPageBreak/>
        <w:t xml:space="preserve">5. Asimismo, propone reformar el artículo 55 de la Ley de Obras Públicas y Servicios Relacionados con las Mismas, para quedar como sigue: </w:t>
      </w:r>
      <w:r w:rsidRPr="00BA03CA">
        <w:rPr>
          <w:rStyle w:val="negritas"/>
          <w:rFonts w:ascii="Arial" w:hAnsi="Arial" w:cs="Arial"/>
          <w:sz w:val="22"/>
          <w:szCs w:val="22"/>
        </w:rPr>
        <w:t>Artículo 55.</w:t>
      </w:r>
      <w:r w:rsidRPr="00BA03CA">
        <w:rPr>
          <w:rFonts w:ascii="Arial" w:hAnsi="Arial" w:cs="Arial"/>
          <w:sz w:val="22"/>
          <w:szCs w:val="22"/>
        </w:rPr>
        <w:t xml:space="preserve"> En caso de incumplimiento en los pagos de estimaciones y de ajustes de costos, la dependencia o entidad, a solicitud del contratista, deberá pagar gastos financieros conforme a una tasa que será igual a la establecida en la Ley de Ingresos de la Federación en los casos de prórroga para el pago de créditos fiscales</w:t>
      </w:r>
      <w:r w:rsidRPr="00BA03CA">
        <w:rPr>
          <w:rStyle w:val="negritas"/>
          <w:rFonts w:ascii="Arial" w:hAnsi="Arial" w:cs="Arial"/>
          <w:sz w:val="22"/>
          <w:szCs w:val="22"/>
        </w:rPr>
        <w:t xml:space="preserve">, sin que la liquidación de los mismos sea renunciable o modificable por pacto entre las </w:t>
      </w:r>
      <w:proofErr w:type="gramStart"/>
      <w:r w:rsidRPr="00BA03CA">
        <w:rPr>
          <w:rStyle w:val="negritas"/>
          <w:rFonts w:ascii="Arial" w:hAnsi="Arial" w:cs="Arial"/>
          <w:sz w:val="22"/>
          <w:szCs w:val="22"/>
        </w:rPr>
        <w:t>partes</w:t>
      </w:r>
      <w:r w:rsidRPr="00BA03CA">
        <w:rPr>
          <w:rFonts w:ascii="Arial" w:hAnsi="Arial" w:cs="Arial"/>
          <w:sz w:val="22"/>
          <w:szCs w:val="22"/>
        </w:rPr>
        <w:t xml:space="preserve"> .</w:t>
      </w:r>
      <w:proofErr w:type="gramEnd"/>
      <w:r w:rsidRPr="00BA03CA">
        <w:rPr>
          <w:rFonts w:ascii="Arial" w:hAnsi="Arial" w:cs="Arial"/>
          <w:sz w:val="22"/>
          <w:szCs w:val="22"/>
        </w:rPr>
        <w:t xml:space="preserve"> Dichos gastos empezarán a generarse cuando las partes tengan definido el importe por pagar, y se calcularán sobre las cantidades no pagadas, debiéndose computar por días naturales desde que sean determinadas y hasta la fecha en que se pongan efectivamente las cantidades a disposición del contratista.</w:t>
      </w:r>
    </w:p>
    <w:p w:rsidR="004C6B13" w:rsidRPr="00BA03CA" w:rsidRDefault="004C6B13" w:rsidP="004C6B13">
      <w:pPr>
        <w:pStyle w:val="centrar"/>
        <w:rPr>
          <w:rFonts w:ascii="Arial" w:hAnsi="Arial" w:cs="Arial"/>
          <w:sz w:val="22"/>
          <w:szCs w:val="22"/>
        </w:rPr>
      </w:pPr>
      <w:r w:rsidRPr="00BA03CA">
        <w:rPr>
          <w:rFonts w:ascii="Arial" w:hAnsi="Arial" w:cs="Arial"/>
          <w:sz w:val="22"/>
          <w:szCs w:val="22"/>
        </w:rPr>
        <w:t>Consideraciones</w:t>
      </w:r>
    </w:p>
    <w:p w:rsidR="004C6B13" w:rsidRPr="00BA03CA" w:rsidRDefault="004C6B13" w:rsidP="004C6B13">
      <w:pPr>
        <w:pStyle w:val="NormalWeb"/>
        <w:rPr>
          <w:rFonts w:ascii="Arial" w:hAnsi="Arial" w:cs="Arial"/>
          <w:sz w:val="22"/>
          <w:szCs w:val="22"/>
        </w:rPr>
      </w:pPr>
      <w:r w:rsidRPr="00BA03CA">
        <w:rPr>
          <w:rStyle w:val="negritas"/>
          <w:rFonts w:ascii="Arial" w:hAnsi="Arial" w:cs="Arial"/>
          <w:sz w:val="22"/>
          <w:szCs w:val="22"/>
        </w:rPr>
        <w:t>Primera.</w:t>
      </w:r>
      <w:r w:rsidRPr="00BA03CA">
        <w:rPr>
          <w:rFonts w:ascii="Arial" w:hAnsi="Arial" w:cs="Arial"/>
          <w:sz w:val="22"/>
          <w:szCs w:val="22"/>
        </w:rPr>
        <w:t xml:space="preserve"> La iniciativa de mérito tiene por objeto reformar los artículos 51 de la Ley de Adquisiciones, Arrendamientos y Servicios del Sector Público (LAASSP), y 55 de la Ley de Obras Públicas y Servicios Relacionados con las Mismas (LOPSRM), con objeto de evitar que en los contratos en lo particular se pueda modificar o renunciar la obligación del Estado de pagar los gastos financieros en que se incurra.</w:t>
      </w:r>
    </w:p>
    <w:p w:rsidR="004C6B13" w:rsidRPr="00BA03CA" w:rsidRDefault="004C6B13" w:rsidP="004C6B13">
      <w:pPr>
        <w:pStyle w:val="NormalWeb"/>
        <w:rPr>
          <w:rFonts w:ascii="Arial" w:hAnsi="Arial" w:cs="Arial"/>
          <w:sz w:val="22"/>
          <w:szCs w:val="22"/>
        </w:rPr>
      </w:pPr>
      <w:r w:rsidRPr="00BA03CA">
        <w:rPr>
          <w:rStyle w:val="negritas"/>
          <w:rFonts w:ascii="Arial" w:hAnsi="Arial" w:cs="Arial"/>
          <w:sz w:val="22"/>
          <w:szCs w:val="22"/>
        </w:rPr>
        <w:t>Segunda.</w:t>
      </w:r>
      <w:r w:rsidRPr="00BA03CA">
        <w:rPr>
          <w:rFonts w:ascii="Arial" w:hAnsi="Arial" w:cs="Arial"/>
          <w:sz w:val="22"/>
          <w:szCs w:val="22"/>
        </w:rPr>
        <w:t xml:space="preserve"> La iniciativa de mérito no cuenta con los elementos necesarios para ser aprobada, en virtud de que las disposiciones contenidas en la LAASSP y en la LOPSRM tienen por objeto regular no sólo las acciones relativas a la planeación, a la programación, a la </w:t>
      </w:r>
      <w:proofErr w:type="spellStart"/>
      <w:r w:rsidRPr="00BA03CA">
        <w:rPr>
          <w:rFonts w:ascii="Arial" w:hAnsi="Arial" w:cs="Arial"/>
          <w:sz w:val="22"/>
          <w:szCs w:val="22"/>
        </w:rPr>
        <w:t>presupuestación</w:t>
      </w:r>
      <w:proofErr w:type="spellEnd"/>
      <w:r w:rsidRPr="00BA03CA">
        <w:rPr>
          <w:rFonts w:ascii="Arial" w:hAnsi="Arial" w:cs="Arial"/>
          <w:sz w:val="22"/>
          <w:szCs w:val="22"/>
        </w:rPr>
        <w:t xml:space="preserve"> y a la contratación de las materias que éstas comprenden sino, también, las referentes al gasto, a la ejecución y al control de las propias contrataciones.</w:t>
      </w:r>
    </w:p>
    <w:p w:rsidR="004C6B13" w:rsidRPr="00BA03CA" w:rsidRDefault="004C6B13" w:rsidP="004C6B13">
      <w:pPr>
        <w:pStyle w:val="NormalWeb"/>
        <w:rPr>
          <w:rFonts w:ascii="Arial" w:hAnsi="Arial" w:cs="Arial"/>
          <w:sz w:val="22"/>
          <w:szCs w:val="22"/>
        </w:rPr>
      </w:pPr>
      <w:r w:rsidRPr="00BA03CA">
        <w:rPr>
          <w:rFonts w:ascii="Arial" w:hAnsi="Arial" w:cs="Arial"/>
          <w:sz w:val="22"/>
          <w:szCs w:val="22"/>
        </w:rPr>
        <w:t>Al respecto, se estima conveniente que en forma previa a la formulación de los argumentos que fijen la postura de esta comisión en relación con la iniciativa que nos ocupa, se proceda a transcribir el texto propuesto.</w:t>
      </w:r>
    </w:p>
    <w:p w:rsidR="004C6B13" w:rsidRPr="00BA03CA" w:rsidRDefault="004C6B13" w:rsidP="004C6B13">
      <w:pPr>
        <w:pStyle w:val="NormalWeb"/>
        <w:rPr>
          <w:rFonts w:ascii="Arial" w:hAnsi="Arial" w:cs="Arial"/>
          <w:sz w:val="22"/>
          <w:szCs w:val="22"/>
        </w:rPr>
      </w:pPr>
      <w:r w:rsidRPr="00BA03CA">
        <w:rPr>
          <w:rFonts w:ascii="Arial" w:hAnsi="Arial" w:cs="Arial"/>
          <w:sz w:val="22"/>
          <w:szCs w:val="22"/>
        </w:rPr>
        <w:t>Así pues, encontramos que la iniciativa se formula en los términos siguientes:</w:t>
      </w:r>
    </w:p>
    <w:p w:rsidR="004C6B13" w:rsidRPr="00BA03CA" w:rsidRDefault="004C6B13" w:rsidP="004C6B13">
      <w:pPr>
        <w:pStyle w:val="sangria"/>
        <w:rPr>
          <w:rFonts w:ascii="Arial" w:hAnsi="Arial" w:cs="Arial"/>
          <w:sz w:val="22"/>
          <w:szCs w:val="22"/>
        </w:rPr>
      </w:pPr>
      <w:r w:rsidRPr="00BA03CA">
        <w:rPr>
          <w:rFonts w:ascii="Arial" w:hAnsi="Arial" w:cs="Arial"/>
          <w:sz w:val="22"/>
          <w:szCs w:val="22"/>
        </w:rPr>
        <w:t>Primero. Se reforma el artículo 51 de la Ley de Adquisiciones, Arrendamientos y Servicios del Sector Público, para quedar como sigue:</w:t>
      </w:r>
    </w:p>
    <w:p w:rsidR="004C6B13" w:rsidRPr="00BA03CA" w:rsidRDefault="004C6B13" w:rsidP="004C6B13">
      <w:pPr>
        <w:pStyle w:val="sangria"/>
        <w:rPr>
          <w:rFonts w:ascii="Arial" w:hAnsi="Arial" w:cs="Arial"/>
          <w:sz w:val="22"/>
          <w:szCs w:val="22"/>
        </w:rPr>
      </w:pPr>
      <w:r w:rsidRPr="00BA03CA">
        <w:rPr>
          <w:rFonts w:ascii="Arial" w:hAnsi="Arial" w:cs="Arial"/>
          <w:sz w:val="22"/>
          <w:szCs w:val="22"/>
        </w:rPr>
        <w:t>Artículo 51. ...</w:t>
      </w:r>
    </w:p>
    <w:p w:rsidR="004C6B13" w:rsidRPr="00BA03CA" w:rsidRDefault="004C6B13" w:rsidP="004C6B13">
      <w:pPr>
        <w:pStyle w:val="sangria"/>
        <w:rPr>
          <w:rFonts w:ascii="Arial" w:hAnsi="Arial" w:cs="Arial"/>
          <w:sz w:val="22"/>
          <w:szCs w:val="22"/>
        </w:rPr>
      </w:pPr>
      <w:r w:rsidRPr="00BA03CA">
        <w:rPr>
          <w:rFonts w:ascii="Arial" w:hAnsi="Arial" w:cs="Arial"/>
          <w:sz w:val="22"/>
          <w:szCs w:val="22"/>
        </w:rPr>
        <w:t>En caso de incumplimiento en los pagos a que se refiere el párrafo anterior, la dependencia o entidad, a solicitud del proveedor, deberá pagar gastos financieros conforme a la tasa que será igual a la establecida en la Ley de Ingresos de la Federación en los casos de prórroga para el pago de créditos fiscales</w:t>
      </w:r>
      <w:r w:rsidRPr="00BA03CA">
        <w:rPr>
          <w:rStyle w:val="negritas"/>
          <w:rFonts w:ascii="Arial" w:hAnsi="Arial" w:cs="Arial"/>
          <w:sz w:val="22"/>
          <w:szCs w:val="22"/>
        </w:rPr>
        <w:t xml:space="preserve">, sin que la liquidación de los mismos sea renunciable o modificable por pacto entre las </w:t>
      </w:r>
      <w:proofErr w:type="gramStart"/>
      <w:r w:rsidRPr="00BA03CA">
        <w:rPr>
          <w:rStyle w:val="negritas"/>
          <w:rFonts w:ascii="Arial" w:hAnsi="Arial" w:cs="Arial"/>
          <w:sz w:val="22"/>
          <w:szCs w:val="22"/>
        </w:rPr>
        <w:t>partes</w:t>
      </w:r>
      <w:r w:rsidRPr="00BA03CA">
        <w:rPr>
          <w:rFonts w:ascii="Arial" w:hAnsi="Arial" w:cs="Arial"/>
          <w:sz w:val="22"/>
          <w:szCs w:val="22"/>
        </w:rPr>
        <w:t xml:space="preserve"> .</w:t>
      </w:r>
      <w:proofErr w:type="gramEnd"/>
      <w:r w:rsidRPr="00BA03CA">
        <w:rPr>
          <w:rFonts w:ascii="Arial" w:hAnsi="Arial" w:cs="Arial"/>
          <w:sz w:val="22"/>
          <w:szCs w:val="22"/>
        </w:rPr>
        <w:t xml:space="preserve"> Dichos gastos se calcularán sobre las cantidades no pagadas y se computarán por días naturales desde que se venció el plazo pactado hasta la fecha en que se pongan efectivamente las cantidades a disposición del proveedor.</w:t>
      </w:r>
    </w:p>
    <w:p w:rsidR="004C6B13" w:rsidRPr="00BA03CA" w:rsidRDefault="004C6B13" w:rsidP="004C6B13">
      <w:pPr>
        <w:pStyle w:val="sangria"/>
        <w:rPr>
          <w:rFonts w:ascii="Arial" w:hAnsi="Arial" w:cs="Arial"/>
          <w:sz w:val="22"/>
          <w:szCs w:val="22"/>
        </w:rPr>
      </w:pPr>
      <w:r w:rsidRPr="00BA03CA">
        <w:rPr>
          <w:rFonts w:ascii="Arial" w:hAnsi="Arial" w:cs="Arial"/>
          <w:sz w:val="22"/>
          <w:szCs w:val="22"/>
        </w:rPr>
        <w:t>...</w:t>
      </w:r>
    </w:p>
    <w:p w:rsidR="004C6B13" w:rsidRPr="00BA03CA" w:rsidRDefault="004C6B13" w:rsidP="004C6B13">
      <w:pPr>
        <w:pStyle w:val="sangria"/>
        <w:rPr>
          <w:rFonts w:ascii="Arial" w:hAnsi="Arial" w:cs="Arial"/>
          <w:sz w:val="22"/>
          <w:szCs w:val="22"/>
        </w:rPr>
      </w:pPr>
      <w:r w:rsidRPr="00BA03CA">
        <w:rPr>
          <w:rFonts w:ascii="Arial" w:hAnsi="Arial" w:cs="Arial"/>
          <w:sz w:val="22"/>
          <w:szCs w:val="22"/>
        </w:rPr>
        <w:t>...</w:t>
      </w:r>
    </w:p>
    <w:p w:rsidR="004C6B13" w:rsidRPr="00BA03CA" w:rsidRDefault="004C6B13" w:rsidP="004C6B13">
      <w:pPr>
        <w:pStyle w:val="sangria"/>
        <w:rPr>
          <w:rFonts w:ascii="Arial" w:hAnsi="Arial" w:cs="Arial"/>
          <w:sz w:val="22"/>
          <w:szCs w:val="22"/>
        </w:rPr>
      </w:pPr>
      <w:r w:rsidRPr="00BA03CA">
        <w:rPr>
          <w:rFonts w:ascii="Arial" w:hAnsi="Arial" w:cs="Arial"/>
          <w:sz w:val="22"/>
          <w:szCs w:val="22"/>
        </w:rPr>
        <w:lastRenderedPageBreak/>
        <w:t>...</w:t>
      </w:r>
    </w:p>
    <w:p w:rsidR="004C6B13" w:rsidRPr="00BA03CA" w:rsidRDefault="004C6B13" w:rsidP="004C6B13">
      <w:pPr>
        <w:pStyle w:val="sangria"/>
        <w:rPr>
          <w:rFonts w:ascii="Arial" w:hAnsi="Arial" w:cs="Arial"/>
          <w:sz w:val="22"/>
          <w:szCs w:val="22"/>
        </w:rPr>
      </w:pPr>
      <w:r w:rsidRPr="00BA03CA">
        <w:rPr>
          <w:rFonts w:ascii="Arial" w:hAnsi="Arial" w:cs="Arial"/>
          <w:sz w:val="22"/>
          <w:szCs w:val="22"/>
        </w:rPr>
        <w:t>Segundo. Se reforma el artículo 55 de la Ley de Obras Públicas y Servicios Relacionados con las Mismas, para quedar como sigue:</w:t>
      </w:r>
    </w:p>
    <w:p w:rsidR="004C6B13" w:rsidRPr="00BA03CA" w:rsidRDefault="004C6B13" w:rsidP="004C6B13">
      <w:pPr>
        <w:pStyle w:val="sangria"/>
        <w:rPr>
          <w:rFonts w:ascii="Arial" w:hAnsi="Arial" w:cs="Arial"/>
          <w:sz w:val="22"/>
          <w:szCs w:val="22"/>
        </w:rPr>
      </w:pPr>
      <w:r w:rsidRPr="00BA03CA">
        <w:rPr>
          <w:rFonts w:ascii="Arial" w:hAnsi="Arial" w:cs="Arial"/>
          <w:sz w:val="22"/>
          <w:szCs w:val="22"/>
        </w:rPr>
        <w:t>Artículo 55. En caso de incumplimiento en los pagos de estimaciones y de ajustes de costos, la dependencia o entidad, a solicitud del contratista, deberá pagar gastos financieros conforme a una tasa que será igual a la establecida en la Ley de Ingresos de la Federación en los casos de prórroga para el pago de créditos fiscales</w:t>
      </w:r>
      <w:r w:rsidRPr="00BA03CA">
        <w:rPr>
          <w:rStyle w:val="negritas"/>
          <w:rFonts w:ascii="Arial" w:hAnsi="Arial" w:cs="Arial"/>
          <w:sz w:val="22"/>
          <w:szCs w:val="22"/>
        </w:rPr>
        <w:t xml:space="preserve">, sin que la liquidación de los mismos sea renunciable o modificable por pacto entre las </w:t>
      </w:r>
      <w:proofErr w:type="gramStart"/>
      <w:r w:rsidRPr="00BA03CA">
        <w:rPr>
          <w:rStyle w:val="negritas"/>
          <w:rFonts w:ascii="Arial" w:hAnsi="Arial" w:cs="Arial"/>
          <w:sz w:val="22"/>
          <w:szCs w:val="22"/>
        </w:rPr>
        <w:t>partes</w:t>
      </w:r>
      <w:r w:rsidRPr="00BA03CA">
        <w:rPr>
          <w:rFonts w:ascii="Arial" w:hAnsi="Arial" w:cs="Arial"/>
          <w:sz w:val="22"/>
          <w:szCs w:val="22"/>
        </w:rPr>
        <w:t xml:space="preserve"> .</w:t>
      </w:r>
      <w:proofErr w:type="gramEnd"/>
      <w:r w:rsidRPr="00BA03CA">
        <w:rPr>
          <w:rFonts w:ascii="Arial" w:hAnsi="Arial" w:cs="Arial"/>
          <w:sz w:val="22"/>
          <w:szCs w:val="22"/>
        </w:rPr>
        <w:t xml:space="preserve"> Dichos gastos empezarán a generarse cuando las partes tengan definido el importe por pagar y se calcularán sobre las cantidades no pagadas, debiéndose computar por días naturales desde que sean determinadas y hasta la fecha en que se pongan efectivamente las cantidades a disposición del contratista.</w:t>
      </w:r>
    </w:p>
    <w:p w:rsidR="004C6B13" w:rsidRPr="00BA03CA" w:rsidRDefault="004C6B13" w:rsidP="004C6B13">
      <w:pPr>
        <w:pStyle w:val="sangria"/>
        <w:rPr>
          <w:rFonts w:ascii="Arial" w:hAnsi="Arial" w:cs="Arial"/>
          <w:sz w:val="22"/>
          <w:szCs w:val="22"/>
        </w:rPr>
      </w:pPr>
      <w:r w:rsidRPr="00BA03CA">
        <w:rPr>
          <w:rFonts w:ascii="Arial" w:hAnsi="Arial" w:cs="Arial"/>
          <w:sz w:val="22"/>
          <w:szCs w:val="22"/>
        </w:rPr>
        <w:t>...</w:t>
      </w:r>
    </w:p>
    <w:p w:rsidR="004C6B13" w:rsidRPr="00BA03CA" w:rsidRDefault="004C6B13" w:rsidP="004C6B13">
      <w:pPr>
        <w:pStyle w:val="sangria"/>
        <w:rPr>
          <w:rFonts w:ascii="Arial" w:hAnsi="Arial" w:cs="Arial"/>
          <w:sz w:val="22"/>
          <w:szCs w:val="22"/>
        </w:rPr>
      </w:pPr>
      <w:r w:rsidRPr="00BA03CA">
        <w:rPr>
          <w:rFonts w:ascii="Arial" w:hAnsi="Arial" w:cs="Arial"/>
          <w:sz w:val="22"/>
          <w:szCs w:val="22"/>
        </w:rPr>
        <w:t>...</w:t>
      </w:r>
    </w:p>
    <w:p w:rsidR="004C6B13" w:rsidRPr="00BA03CA" w:rsidRDefault="004C6B13" w:rsidP="004C6B13">
      <w:pPr>
        <w:pStyle w:val="NormalWeb"/>
        <w:rPr>
          <w:rFonts w:ascii="Arial" w:hAnsi="Arial" w:cs="Arial"/>
          <w:sz w:val="22"/>
          <w:szCs w:val="22"/>
        </w:rPr>
      </w:pPr>
      <w:r w:rsidRPr="00BA03CA">
        <w:rPr>
          <w:rFonts w:ascii="Arial" w:hAnsi="Arial" w:cs="Arial"/>
          <w:sz w:val="22"/>
          <w:szCs w:val="22"/>
        </w:rPr>
        <w:t>Del análisis de la exposición de motivos y de la reforma propuesta se desprende lo siguiente:</w:t>
      </w:r>
    </w:p>
    <w:p w:rsidR="004C6B13" w:rsidRPr="00BA03CA" w:rsidRDefault="004C6B13" w:rsidP="004C6B13">
      <w:pPr>
        <w:pStyle w:val="NormalWeb"/>
        <w:rPr>
          <w:rFonts w:ascii="Arial" w:hAnsi="Arial" w:cs="Arial"/>
          <w:sz w:val="22"/>
          <w:szCs w:val="22"/>
        </w:rPr>
      </w:pPr>
      <w:r w:rsidRPr="00BA03CA">
        <w:rPr>
          <w:rFonts w:ascii="Arial" w:hAnsi="Arial" w:cs="Arial"/>
          <w:sz w:val="22"/>
          <w:szCs w:val="22"/>
        </w:rPr>
        <w:t>Se indica que, tradicionalmente, en materia de contratos administrativos entre los gastos derivados de los contratos de obra pública se considera el pago de estimaciones o los respectivos ajustes en los costos de la obra en cuestión. De esa forma, en el rubro de gastos financieros se incluyen, entre otros, conceptos como intereses, gastos y comisiones bancarias, pagadas por gastos por fluctuaciones de las tasas de cambio, multas, sanciones, morosidad, indemnizaciones, descuentos por pronto pago, bonificaciones concedidas a los clientes y la cancelación de cuentas por cobrar, cuando no se ha creado la provisión correspondiente.</w:t>
      </w:r>
    </w:p>
    <w:p w:rsidR="004C6B13" w:rsidRPr="00BA03CA" w:rsidRDefault="004C6B13" w:rsidP="004C6B13">
      <w:pPr>
        <w:pStyle w:val="NormalWeb"/>
        <w:rPr>
          <w:rFonts w:ascii="Arial" w:hAnsi="Arial" w:cs="Arial"/>
          <w:sz w:val="22"/>
          <w:szCs w:val="22"/>
        </w:rPr>
      </w:pPr>
      <w:r w:rsidRPr="00BA03CA">
        <w:rPr>
          <w:rStyle w:val="negritas"/>
          <w:rFonts w:ascii="Arial" w:hAnsi="Arial" w:cs="Arial"/>
          <w:sz w:val="22"/>
          <w:szCs w:val="22"/>
        </w:rPr>
        <w:t>Cuarta.</w:t>
      </w:r>
      <w:r w:rsidRPr="00BA03CA">
        <w:rPr>
          <w:rFonts w:ascii="Arial" w:hAnsi="Arial" w:cs="Arial"/>
          <w:sz w:val="22"/>
          <w:szCs w:val="22"/>
        </w:rPr>
        <w:t xml:space="preserve"> Asimismo, se menciona que una de las causales más frecuentes de controversias es la generación de éstos por no poner a disposición del contratista, conforme a lo estipulado en el contrato, los anticipos para la compra y la producción de materiales de construcción, adquisición de equipos y demás insumos necesarios para la obra. De ahí que se demande el pago de los gastos financieros al contratista (administración pública) y que su costo se cubra por los servidores públicos responsables del atraso del pago y se busque además fincar la responsabilidad que corresponda conforme a la Ley Federal de Responsabilidades Administrativas de los Servidores Públicos.</w:t>
      </w:r>
    </w:p>
    <w:p w:rsidR="004C6B13" w:rsidRPr="00BA03CA" w:rsidRDefault="004C6B13" w:rsidP="004C6B13">
      <w:pPr>
        <w:pStyle w:val="NormalWeb"/>
        <w:rPr>
          <w:rFonts w:ascii="Arial" w:hAnsi="Arial" w:cs="Arial"/>
          <w:sz w:val="22"/>
          <w:szCs w:val="22"/>
        </w:rPr>
      </w:pPr>
      <w:r w:rsidRPr="00BA03CA">
        <w:rPr>
          <w:rFonts w:ascii="Arial" w:hAnsi="Arial" w:cs="Arial"/>
          <w:sz w:val="22"/>
          <w:szCs w:val="22"/>
        </w:rPr>
        <w:t>De esa forma, se señala que el incumplimiento de pago es originado recurrentemente por la tardía liberación y radicación de recursos por la Secretaría de Hacienda y Crédito Público y por la Tesorería de la Federación, por lo que sólo resulta procedente lo establecido en los artículos señalados, en el caso que habiéndose autorizado y radicado los recursos correspondientes por morosidad, negligencia o ineptitud de los servidores públicos, no se efectúen los pagos correspondientes.</w:t>
      </w:r>
    </w:p>
    <w:p w:rsidR="004C6B13" w:rsidRPr="00BA03CA" w:rsidRDefault="004C6B13" w:rsidP="004C6B13">
      <w:pPr>
        <w:pStyle w:val="NormalWeb"/>
        <w:rPr>
          <w:rFonts w:ascii="Arial" w:hAnsi="Arial" w:cs="Arial"/>
          <w:sz w:val="22"/>
          <w:szCs w:val="22"/>
        </w:rPr>
      </w:pPr>
      <w:r w:rsidRPr="00BA03CA">
        <w:rPr>
          <w:rStyle w:val="negritas"/>
          <w:rFonts w:ascii="Arial" w:hAnsi="Arial" w:cs="Arial"/>
          <w:sz w:val="22"/>
          <w:szCs w:val="22"/>
        </w:rPr>
        <w:t>Quinta.</w:t>
      </w:r>
      <w:r w:rsidRPr="00BA03CA">
        <w:rPr>
          <w:rFonts w:ascii="Arial" w:hAnsi="Arial" w:cs="Arial"/>
          <w:sz w:val="22"/>
          <w:szCs w:val="22"/>
        </w:rPr>
        <w:t xml:space="preserve"> En razón de lo anterior, la iniciante propone reformar los artículos en comento, a fin de dar mayor seguridad jurídica a los contratantes, con el afán de impulsar los compromisos que en materia de infraestructura asumirán el gobierno y la cadena </w:t>
      </w:r>
      <w:r w:rsidRPr="00BA03CA">
        <w:rPr>
          <w:rFonts w:ascii="Arial" w:hAnsi="Arial" w:cs="Arial"/>
          <w:sz w:val="22"/>
          <w:szCs w:val="22"/>
        </w:rPr>
        <w:lastRenderedPageBreak/>
        <w:t>productiva de la industria de la construcción en lo sucesivo, así como para evitar que en los contratos en lo particular pueda modificar o renunciar la obligación del Estado de pagar los gastos financieros en que se incurra, con la consideración de que lo dispuesto en ambas leyes es de orden público y no quedan al albedrío de las partes su modificación o renuncia por pacto (incluso expreso) posterior. Asimismo, indica que al dejar clara esta disposición se evita a las partes contratantes accionar tanto la vía administrativa como la judicial para la solución de controversias, incurriendo en costos innecesarios e incrementándolos para ambas partes.</w:t>
      </w:r>
    </w:p>
    <w:p w:rsidR="004C6B13" w:rsidRPr="00BA03CA" w:rsidRDefault="004C6B13" w:rsidP="004C6B13">
      <w:pPr>
        <w:pStyle w:val="NormalWeb"/>
        <w:rPr>
          <w:rFonts w:ascii="Arial" w:hAnsi="Arial" w:cs="Arial"/>
          <w:sz w:val="22"/>
          <w:szCs w:val="22"/>
        </w:rPr>
      </w:pPr>
      <w:r w:rsidRPr="00BA03CA">
        <w:rPr>
          <w:rStyle w:val="negritas"/>
          <w:rFonts w:ascii="Arial" w:hAnsi="Arial" w:cs="Arial"/>
          <w:sz w:val="22"/>
          <w:szCs w:val="22"/>
        </w:rPr>
        <w:t>Sexta.</w:t>
      </w:r>
      <w:r w:rsidRPr="00BA03CA">
        <w:rPr>
          <w:rFonts w:ascii="Arial" w:hAnsi="Arial" w:cs="Arial"/>
          <w:sz w:val="22"/>
          <w:szCs w:val="22"/>
        </w:rPr>
        <w:t xml:space="preserve"> Ahora bien, de la lectura de las reformas propuestas se advierten como motivos principales la necesidad de garantizar la eficiencia en la contratación pública y la de otorgar mayor seguridad jurídica a los proveedores y contratistas, en específico para los efectos de que en ambos ordenamientos se establezca expresamente que la liquidación de los gastos financieros a que se hace referencia en los artículos que nos ocupan corresponde a un derecho irrenunciable, que no puede modificarse por pacto entre las partes.</w:t>
      </w:r>
    </w:p>
    <w:p w:rsidR="004C6B13" w:rsidRPr="00BA03CA" w:rsidRDefault="004C6B13" w:rsidP="004C6B13">
      <w:pPr>
        <w:pStyle w:val="NormalWeb"/>
        <w:rPr>
          <w:rFonts w:ascii="Arial" w:hAnsi="Arial" w:cs="Arial"/>
          <w:sz w:val="22"/>
          <w:szCs w:val="22"/>
        </w:rPr>
      </w:pPr>
      <w:r w:rsidRPr="00BA03CA">
        <w:rPr>
          <w:rFonts w:ascii="Arial" w:hAnsi="Arial" w:cs="Arial"/>
          <w:sz w:val="22"/>
          <w:szCs w:val="22"/>
        </w:rPr>
        <w:t>Es importante considerar que tanto la LAASSP como la LOPSRM precisan el contenido mínimo que deberán prever las dependencias y las entidades en los contratos que al amparo de ambos ordenamientos se celebren.</w:t>
      </w:r>
    </w:p>
    <w:p w:rsidR="004C6B13" w:rsidRPr="00BA03CA" w:rsidRDefault="004C6B13" w:rsidP="004C6B13">
      <w:pPr>
        <w:pStyle w:val="NormalWeb"/>
        <w:rPr>
          <w:rFonts w:ascii="Arial" w:hAnsi="Arial" w:cs="Arial"/>
          <w:sz w:val="22"/>
          <w:szCs w:val="22"/>
        </w:rPr>
      </w:pPr>
      <w:r w:rsidRPr="00BA03CA">
        <w:rPr>
          <w:rStyle w:val="negritas"/>
          <w:rFonts w:ascii="Arial" w:hAnsi="Arial" w:cs="Arial"/>
          <w:sz w:val="22"/>
          <w:szCs w:val="22"/>
        </w:rPr>
        <w:t>Séptima.</w:t>
      </w:r>
      <w:r w:rsidRPr="00BA03CA">
        <w:rPr>
          <w:rFonts w:ascii="Arial" w:hAnsi="Arial" w:cs="Arial"/>
          <w:sz w:val="22"/>
          <w:szCs w:val="22"/>
        </w:rPr>
        <w:t xml:space="preserve"> Asimismo, como parte de la regulación de las acciones de control y ejecución de las contrataciones, la LAASSP, la LOPSRM y sus respectivos reglamentos establecen disposiciones generales a que deben sujetarse invariablemente las dependencias y las entidades, así como los proveedores y los contratistas, como en caso de atraso en la entrega del anticipo se prorroga en igual tiempo el cumplimiento de las obligaciones asumidas por del contratista; en el supuesto de no poner a disposición el inmueble en que deban ejecutarse los trabajos, se prorrogará la fecha para la conclusión de los mismos; así como, en caso fortuito o fuerza mayor que imposibilite la continuación de los trabajos o la prestación del servicio, el contratista o proveedor podrá optar por no ejecutarlos y en el caso de servicios se puede prorrogar la fecha de cumplimiento.</w:t>
      </w:r>
    </w:p>
    <w:p w:rsidR="004C6B13" w:rsidRPr="00BA03CA" w:rsidRDefault="004C6B13" w:rsidP="004C6B13">
      <w:pPr>
        <w:pStyle w:val="NormalWeb"/>
        <w:rPr>
          <w:rFonts w:ascii="Arial" w:hAnsi="Arial" w:cs="Arial"/>
          <w:sz w:val="22"/>
          <w:szCs w:val="22"/>
        </w:rPr>
      </w:pPr>
      <w:r w:rsidRPr="00BA03CA">
        <w:rPr>
          <w:rFonts w:ascii="Arial" w:hAnsi="Arial" w:cs="Arial"/>
          <w:sz w:val="22"/>
          <w:szCs w:val="22"/>
        </w:rPr>
        <w:t>En este tenor, conforme a las disposiciones contenidas en las leyes que nos ocupan, las dependencias y las entidades elaboran los contratos administrativos cuyo contenido salvaguarda los intereses de ambas partes.</w:t>
      </w:r>
    </w:p>
    <w:p w:rsidR="004C6B13" w:rsidRPr="00BA03CA" w:rsidRDefault="004C6B13" w:rsidP="004C6B13">
      <w:pPr>
        <w:pStyle w:val="NormalWeb"/>
        <w:rPr>
          <w:rFonts w:ascii="Arial" w:hAnsi="Arial" w:cs="Arial"/>
          <w:sz w:val="22"/>
          <w:szCs w:val="22"/>
        </w:rPr>
      </w:pPr>
      <w:r w:rsidRPr="00BA03CA">
        <w:rPr>
          <w:rStyle w:val="negritas"/>
          <w:rFonts w:ascii="Arial" w:hAnsi="Arial" w:cs="Arial"/>
          <w:sz w:val="22"/>
          <w:szCs w:val="22"/>
        </w:rPr>
        <w:t>Octava.</w:t>
      </w:r>
      <w:r w:rsidRPr="00BA03CA">
        <w:rPr>
          <w:rFonts w:ascii="Arial" w:hAnsi="Arial" w:cs="Arial"/>
          <w:sz w:val="22"/>
          <w:szCs w:val="22"/>
        </w:rPr>
        <w:t xml:space="preserve"> En razón de lo expuesto se considera que la reforma que nos ocupa resulta innecesaria, toda vez que dichos conceptos y principios en su totalidad son comprendidos en diversos ordenamientos, por lo cual son obligatorios. Aun cuando no se transcriban en su totalidad en los contratos que las dependencias o entidades celebren, estos principios deben ser observados.</w:t>
      </w:r>
    </w:p>
    <w:p w:rsidR="004C6B13" w:rsidRPr="00BA03CA" w:rsidRDefault="004C6B13" w:rsidP="004C6B13">
      <w:pPr>
        <w:pStyle w:val="NormalWeb"/>
        <w:rPr>
          <w:rFonts w:ascii="Arial" w:hAnsi="Arial" w:cs="Arial"/>
          <w:sz w:val="22"/>
          <w:szCs w:val="22"/>
        </w:rPr>
      </w:pPr>
      <w:r w:rsidRPr="00BA03CA">
        <w:rPr>
          <w:rStyle w:val="negritas"/>
          <w:rFonts w:ascii="Arial" w:hAnsi="Arial" w:cs="Arial"/>
          <w:sz w:val="22"/>
          <w:szCs w:val="22"/>
        </w:rPr>
        <w:t>Novena.</w:t>
      </w:r>
      <w:r w:rsidRPr="00BA03CA">
        <w:rPr>
          <w:rFonts w:ascii="Arial" w:hAnsi="Arial" w:cs="Arial"/>
          <w:sz w:val="22"/>
          <w:szCs w:val="22"/>
        </w:rPr>
        <w:t xml:space="preserve"> De tal forma, de llevarse a cabo dicha reforma, se generaría incertidumbre respecto a la observancia y aplicación del resto de las disposiciones contenidas en ambas leyes, toda vez que podría interpretarse que, al establecerse expresamente que determinada disposición no es renunciable y que por consiguiente no procede pacto en contrario, se entendería que la LAASSP y la LOPSRM contienen disposiciones que sí resultarían renunciables, no se puede perder de vista que las normas son de orden público y de observancia obligatoria, de ahí que no puede existir pacto en contrario, porque éste sería nulo. Luego, resulta innecesaria la reforma porque no se requiere </w:t>
      </w:r>
      <w:r w:rsidRPr="00BA03CA">
        <w:rPr>
          <w:rFonts w:ascii="Arial" w:hAnsi="Arial" w:cs="Arial"/>
          <w:sz w:val="22"/>
          <w:szCs w:val="22"/>
        </w:rPr>
        <w:lastRenderedPageBreak/>
        <w:t>precisar que la obligación de pagar los gastos financieros no puede ser materia de transacción entre las partes, dado que la propia norma obliga a la dependencia o entidad a pagarlos cuando se da el supuesto legal respectivo.</w:t>
      </w:r>
    </w:p>
    <w:p w:rsidR="004C6B13" w:rsidRPr="00BA03CA" w:rsidRDefault="004C6B13" w:rsidP="004C6B13">
      <w:pPr>
        <w:pStyle w:val="NormalWeb"/>
        <w:rPr>
          <w:rFonts w:ascii="Arial" w:hAnsi="Arial" w:cs="Arial"/>
          <w:sz w:val="22"/>
          <w:szCs w:val="22"/>
        </w:rPr>
      </w:pPr>
      <w:r w:rsidRPr="00BA03CA">
        <w:rPr>
          <w:rStyle w:val="negritas"/>
          <w:rFonts w:ascii="Arial" w:hAnsi="Arial" w:cs="Arial"/>
          <w:sz w:val="22"/>
          <w:szCs w:val="22"/>
        </w:rPr>
        <w:t>Décima.</w:t>
      </w:r>
      <w:r w:rsidRPr="00BA03CA">
        <w:rPr>
          <w:rFonts w:ascii="Arial" w:hAnsi="Arial" w:cs="Arial"/>
          <w:sz w:val="22"/>
          <w:szCs w:val="22"/>
        </w:rPr>
        <w:t xml:space="preserve"> Adicionalmente, hay una incongruencia entre la exposición de motivos presentada por la iniciante y el mismo contenido de la iniciativa, ya que la entrega tardía del anticipo en un contrato no se vincula con la obligación a cargo de la entidad o dependencia de pagar los gastos financieros. Además, diversas normas en las propias leyes que se pretende reformar establecen disposiciones generales a que deben sujetarse las dependencias y entidades y que salvaguardan los intereses de ambas partes, como son los siguientes: a) que en caso de atraso en la entrega de anticipo, se prorrogará en igual tiempo el plazo para el cumplimiento de las obligaciones; b) que en caso de no poner a disposición el inmueble en que deban ejecutarse los trabajos, se prorrogará la fecha d para la conclusión de los trabajos; y c) que en caso fortuito o fuerza mayor que imposibilite la continuación de los trabajos o la prestación del servicio, el contratista o proveedor podrá optar por no ejecutarlos, y en el caso de los servicios, se podrá prorrogar la fecha de cumplimiento.</w:t>
      </w:r>
    </w:p>
    <w:p w:rsidR="004C6B13" w:rsidRPr="00BA03CA" w:rsidRDefault="004C6B13" w:rsidP="004C6B13">
      <w:pPr>
        <w:pStyle w:val="NormalWeb"/>
        <w:rPr>
          <w:rFonts w:ascii="Arial" w:hAnsi="Arial" w:cs="Arial"/>
          <w:sz w:val="22"/>
          <w:szCs w:val="22"/>
        </w:rPr>
      </w:pPr>
      <w:r w:rsidRPr="00BA03CA">
        <w:rPr>
          <w:rFonts w:ascii="Arial" w:hAnsi="Arial" w:cs="Arial"/>
          <w:sz w:val="22"/>
          <w:szCs w:val="22"/>
        </w:rPr>
        <w:t>Por las consideraciones expuestas, los integrantes de la Comisión de la Función Pública presentan al pleno de esta soberanía, para aprobación, los siguientes</w:t>
      </w:r>
    </w:p>
    <w:p w:rsidR="004C6B13" w:rsidRPr="00BA03CA" w:rsidRDefault="004C6B13" w:rsidP="004C6B13">
      <w:pPr>
        <w:pStyle w:val="centrar"/>
        <w:rPr>
          <w:rFonts w:ascii="Arial" w:hAnsi="Arial" w:cs="Arial"/>
          <w:sz w:val="22"/>
          <w:szCs w:val="22"/>
        </w:rPr>
      </w:pPr>
      <w:r w:rsidRPr="00BA03CA">
        <w:rPr>
          <w:rFonts w:ascii="Arial" w:hAnsi="Arial" w:cs="Arial"/>
          <w:sz w:val="22"/>
          <w:szCs w:val="22"/>
        </w:rPr>
        <w:t>Acuerdos</w:t>
      </w:r>
    </w:p>
    <w:p w:rsidR="004C6B13" w:rsidRPr="00BA03CA" w:rsidRDefault="004C6B13" w:rsidP="004C6B13">
      <w:pPr>
        <w:pStyle w:val="NormalWeb"/>
        <w:rPr>
          <w:rFonts w:ascii="Arial" w:hAnsi="Arial" w:cs="Arial"/>
          <w:sz w:val="22"/>
          <w:szCs w:val="22"/>
        </w:rPr>
      </w:pPr>
      <w:r w:rsidRPr="00BA03CA">
        <w:rPr>
          <w:rStyle w:val="negritas"/>
          <w:rFonts w:ascii="Arial" w:hAnsi="Arial" w:cs="Arial"/>
          <w:sz w:val="22"/>
          <w:szCs w:val="22"/>
        </w:rPr>
        <w:t>Primero.</w:t>
      </w:r>
      <w:r w:rsidRPr="00BA03CA">
        <w:rPr>
          <w:rFonts w:ascii="Arial" w:hAnsi="Arial" w:cs="Arial"/>
          <w:sz w:val="22"/>
          <w:szCs w:val="22"/>
        </w:rPr>
        <w:t xml:space="preserve"> Se </w:t>
      </w:r>
      <w:r w:rsidRPr="00BA03CA">
        <w:rPr>
          <w:rStyle w:val="negritas"/>
          <w:rFonts w:ascii="Arial" w:hAnsi="Arial" w:cs="Arial"/>
          <w:sz w:val="22"/>
          <w:szCs w:val="22"/>
        </w:rPr>
        <w:t>desecha</w:t>
      </w:r>
      <w:r w:rsidRPr="00BA03CA">
        <w:rPr>
          <w:rFonts w:ascii="Arial" w:hAnsi="Arial" w:cs="Arial"/>
          <w:sz w:val="22"/>
          <w:szCs w:val="22"/>
        </w:rPr>
        <w:t xml:space="preserve"> la iniciativa que reforma los artículos 51 de la Ley de Adquisiciones, Arrendamientos y Servicios del Sector Público, y 55 de la Ley de Obras Públicas y Servicios Relacionados con las Mismas, presentada por la diputada Mónica Arriola Gordillo, del Grupo Parlamentario de Nueva Alianza, el 16 de octubre de 2007.</w:t>
      </w:r>
    </w:p>
    <w:p w:rsidR="004C6B13" w:rsidRPr="00BA03CA" w:rsidRDefault="004C6B13" w:rsidP="004C6B13">
      <w:pPr>
        <w:pStyle w:val="NormalWeb"/>
        <w:rPr>
          <w:rFonts w:ascii="Arial" w:hAnsi="Arial" w:cs="Arial"/>
          <w:sz w:val="22"/>
          <w:szCs w:val="22"/>
        </w:rPr>
      </w:pPr>
      <w:r w:rsidRPr="00BA03CA">
        <w:rPr>
          <w:rStyle w:val="negritas"/>
          <w:rFonts w:ascii="Arial" w:hAnsi="Arial" w:cs="Arial"/>
          <w:sz w:val="22"/>
          <w:szCs w:val="22"/>
        </w:rPr>
        <w:t>Segundo. Archívese</w:t>
      </w:r>
      <w:r w:rsidRPr="00BA03CA">
        <w:rPr>
          <w:rFonts w:ascii="Arial" w:hAnsi="Arial" w:cs="Arial"/>
          <w:sz w:val="22"/>
          <w:szCs w:val="22"/>
        </w:rPr>
        <w:t xml:space="preserve"> el expediente como asunto totalmente concluido.</w:t>
      </w:r>
    </w:p>
    <w:p w:rsidR="004C6B13" w:rsidRPr="00BA03CA" w:rsidRDefault="004C6B13" w:rsidP="004C6B13">
      <w:pPr>
        <w:pStyle w:val="NormalWeb"/>
        <w:rPr>
          <w:rFonts w:ascii="Arial" w:hAnsi="Arial" w:cs="Arial"/>
          <w:sz w:val="22"/>
          <w:szCs w:val="22"/>
        </w:rPr>
      </w:pPr>
      <w:r w:rsidRPr="00BA03CA">
        <w:rPr>
          <w:rFonts w:ascii="Arial" w:hAnsi="Arial" w:cs="Arial"/>
          <w:sz w:val="22"/>
          <w:szCs w:val="22"/>
        </w:rPr>
        <w:t>Salón de sesiones de la comisión, Palacio Legislativo de San Lázaro.- México, Distrito Federal, a 9 de febrero de 2011.</w:t>
      </w:r>
    </w:p>
    <w:p w:rsidR="004C6B13" w:rsidRPr="00BA03CA" w:rsidRDefault="004C6B13" w:rsidP="004C6B13">
      <w:pPr>
        <w:pStyle w:val="firmas"/>
        <w:rPr>
          <w:rFonts w:ascii="Arial" w:hAnsi="Arial" w:cs="Arial"/>
        </w:rPr>
      </w:pPr>
      <w:r w:rsidRPr="00BA03CA">
        <w:rPr>
          <w:rStyle w:val="negritas"/>
          <w:rFonts w:ascii="Arial" w:hAnsi="Arial" w:cs="Arial"/>
        </w:rPr>
        <w:t>La Comisión de la Función Pública</w:t>
      </w:r>
      <w:r w:rsidRPr="00BA03CA">
        <w:rPr>
          <w:rFonts w:ascii="Arial" w:hAnsi="Arial" w:cs="Arial"/>
        </w:rPr>
        <w:t xml:space="preserve"> </w:t>
      </w:r>
    </w:p>
    <w:p w:rsidR="004C6B13" w:rsidRPr="00BA03CA" w:rsidRDefault="004C6B13" w:rsidP="004C6B13">
      <w:pPr>
        <w:pStyle w:val="firmas"/>
        <w:rPr>
          <w:rFonts w:ascii="Arial" w:hAnsi="Arial" w:cs="Arial"/>
        </w:rPr>
      </w:pPr>
      <w:r w:rsidRPr="00BA03CA">
        <w:rPr>
          <w:rStyle w:val="negritas"/>
          <w:rFonts w:ascii="Arial" w:hAnsi="Arial" w:cs="Arial"/>
        </w:rPr>
        <w:t>Diputados:</w:t>
      </w:r>
      <w:r w:rsidRPr="00BA03CA">
        <w:rPr>
          <w:rFonts w:ascii="Arial" w:hAnsi="Arial" w:cs="Arial"/>
        </w:rPr>
        <w:t xml:space="preserve"> Pablo Escudero Morales (rúbrica), presidente; Patricio Chirinos del Ángel (rúbrica), Josué Cirino Valdés </w:t>
      </w:r>
      <w:proofErr w:type="spellStart"/>
      <w:r w:rsidRPr="00BA03CA">
        <w:rPr>
          <w:rFonts w:ascii="Arial" w:hAnsi="Arial" w:cs="Arial"/>
        </w:rPr>
        <w:t>Huezo</w:t>
      </w:r>
      <w:proofErr w:type="spellEnd"/>
      <w:r w:rsidRPr="00BA03CA">
        <w:rPr>
          <w:rFonts w:ascii="Arial" w:hAnsi="Arial" w:cs="Arial"/>
        </w:rPr>
        <w:t xml:space="preserve"> (rúbrica), Marcos Pérez Esquer (rúbrica), Juan Carlos López Fernández, secretarios; Janet Graciela González Tostado, Agustín Guerrero Castillo, Sergio Lobato García (rúbrica), Kenia López Rabadán (rúbrica), </w:t>
      </w:r>
      <w:proofErr w:type="spellStart"/>
      <w:r w:rsidRPr="00BA03CA">
        <w:rPr>
          <w:rFonts w:ascii="Arial" w:hAnsi="Arial" w:cs="Arial"/>
        </w:rPr>
        <w:t>Tereso</w:t>
      </w:r>
      <w:proofErr w:type="spellEnd"/>
      <w:r w:rsidRPr="00BA03CA">
        <w:rPr>
          <w:rFonts w:ascii="Arial" w:hAnsi="Arial" w:cs="Arial"/>
        </w:rPr>
        <w:t xml:space="preserve"> Medina Ramírez, Pedro Peralta Rivas (rúbrica), </w:t>
      </w:r>
      <w:proofErr w:type="spellStart"/>
      <w:r w:rsidRPr="00BA03CA">
        <w:rPr>
          <w:rFonts w:ascii="Arial" w:hAnsi="Arial" w:cs="Arial"/>
        </w:rPr>
        <w:t>Ivideliza</w:t>
      </w:r>
      <w:proofErr w:type="spellEnd"/>
      <w:r w:rsidRPr="00BA03CA">
        <w:rPr>
          <w:rFonts w:ascii="Arial" w:hAnsi="Arial" w:cs="Arial"/>
        </w:rPr>
        <w:t xml:space="preserve"> Reyes Hernández, José Francisco </w:t>
      </w:r>
      <w:proofErr w:type="spellStart"/>
      <w:r w:rsidRPr="00BA03CA">
        <w:rPr>
          <w:rFonts w:ascii="Arial" w:hAnsi="Arial" w:cs="Arial"/>
        </w:rPr>
        <w:t>Rábago</w:t>
      </w:r>
      <w:proofErr w:type="spellEnd"/>
      <w:r w:rsidRPr="00BA03CA">
        <w:rPr>
          <w:rFonts w:ascii="Arial" w:hAnsi="Arial" w:cs="Arial"/>
        </w:rPr>
        <w:t xml:space="preserve"> Castillo (rúbrica), Fausto Sergio Saldaña del Moral (rúbrica), Enrique Torres Delgado (rúbrica), </w:t>
      </w:r>
      <w:proofErr w:type="spellStart"/>
      <w:r w:rsidRPr="00BA03CA">
        <w:rPr>
          <w:rFonts w:ascii="Arial" w:hAnsi="Arial" w:cs="Arial"/>
        </w:rPr>
        <w:t>Esthela</w:t>
      </w:r>
      <w:proofErr w:type="spellEnd"/>
      <w:r w:rsidRPr="00BA03CA">
        <w:rPr>
          <w:rFonts w:ascii="Arial" w:hAnsi="Arial" w:cs="Arial"/>
        </w:rPr>
        <w:t xml:space="preserve"> Damián Peralta (rúbrica), Ernesto de Lucas Hopkins (rúbrica), Carlos Alberto </w:t>
      </w:r>
      <w:proofErr w:type="spellStart"/>
      <w:r w:rsidRPr="00BA03CA">
        <w:rPr>
          <w:rFonts w:ascii="Arial" w:hAnsi="Arial" w:cs="Arial"/>
        </w:rPr>
        <w:t>Ezeta</w:t>
      </w:r>
      <w:proofErr w:type="spellEnd"/>
      <w:r w:rsidRPr="00BA03CA">
        <w:rPr>
          <w:rFonts w:ascii="Arial" w:hAnsi="Arial" w:cs="Arial"/>
        </w:rPr>
        <w:t xml:space="preserve"> Salcedo (rúbrica), María de Jesús Mendoza Sánchez, Josefina Rodarte Ayala (rúbrica), Héctor Pedroza Jiménez (rúbrica), Enrique Octavio Trejo </w:t>
      </w:r>
      <w:proofErr w:type="spellStart"/>
      <w:r w:rsidRPr="00BA03CA">
        <w:rPr>
          <w:rFonts w:ascii="Arial" w:hAnsi="Arial" w:cs="Arial"/>
        </w:rPr>
        <w:t>Azuara</w:t>
      </w:r>
      <w:proofErr w:type="spellEnd"/>
      <w:r w:rsidRPr="00BA03CA">
        <w:rPr>
          <w:rFonts w:ascii="Arial" w:hAnsi="Arial" w:cs="Arial"/>
        </w:rPr>
        <w:t xml:space="preserve"> (rúbrica), Víctor Manuel Anastasio Galicia Ávila (rúbrica).</w:t>
      </w:r>
    </w:p>
    <w:bookmarkEnd w:id="0"/>
    <w:bookmarkEnd w:id="1"/>
    <w:p w:rsidR="004C6B13" w:rsidRPr="00BA03CA" w:rsidRDefault="004C6B13">
      <w:pPr>
        <w:rPr>
          <w:rFonts w:ascii="Arial" w:hAnsi="Arial" w:cs="Arial"/>
        </w:rPr>
      </w:pPr>
    </w:p>
    <w:sectPr w:rsidR="004C6B13" w:rsidRPr="00BA03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13"/>
    <w:rsid w:val="004C6B13"/>
    <w:rsid w:val="00B4687E"/>
    <w:rsid w:val="00BA03CA"/>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C6B13"/>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centrar">
    <w:name w:val="centrar"/>
    <w:basedOn w:val="Normal"/>
    <w:rsid w:val="004C6B13"/>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versales">
    <w:name w:val="versales"/>
    <w:basedOn w:val="Normal"/>
    <w:rsid w:val="004C6B13"/>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firmas">
    <w:name w:val="firmas"/>
    <w:basedOn w:val="Normal"/>
    <w:rsid w:val="004C6B13"/>
    <w:pPr>
      <w:spacing w:before="100" w:beforeAutospacing="1" w:after="100" w:afterAutospacing="1" w:line="240" w:lineRule="auto"/>
      <w:jc w:val="both"/>
    </w:pPr>
    <w:rPr>
      <w:rFonts w:ascii="Times New Roman" w:eastAsia="Times New Roman" w:hAnsi="Times New Roman" w:cs="Times New Roman"/>
      <w:sz w:val="16"/>
      <w:szCs w:val="16"/>
      <w:lang w:eastAsia="es-MX"/>
    </w:rPr>
  </w:style>
  <w:style w:type="paragraph" w:customStyle="1" w:styleId="sangria">
    <w:name w:val="sangria"/>
    <w:basedOn w:val="Normal"/>
    <w:rsid w:val="004C6B13"/>
    <w:pPr>
      <w:spacing w:before="100" w:beforeAutospacing="1" w:after="100" w:afterAutospacing="1" w:line="240" w:lineRule="auto"/>
      <w:ind w:left="240"/>
      <w:jc w:val="both"/>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4C6B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C6B13"/>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centrar">
    <w:name w:val="centrar"/>
    <w:basedOn w:val="Normal"/>
    <w:rsid w:val="004C6B13"/>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versales">
    <w:name w:val="versales"/>
    <w:basedOn w:val="Normal"/>
    <w:rsid w:val="004C6B13"/>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firmas">
    <w:name w:val="firmas"/>
    <w:basedOn w:val="Normal"/>
    <w:rsid w:val="004C6B13"/>
    <w:pPr>
      <w:spacing w:before="100" w:beforeAutospacing="1" w:after="100" w:afterAutospacing="1" w:line="240" w:lineRule="auto"/>
      <w:jc w:val="both"/>
    </w:pPr>
    <w:rPr>
      <w:rFonts w:ascii="Times New Roman" w:eastAsia="Times New Roman" w:hAnsi="Times New Roman" w:cs="Times New Roman"/>
      <w:sz w:val="16"/>
      <w:szCs w:val="16"/>
      <w:lang w:eastAsia="es-MX"/>
    </w:rPr>
  </w:style>
  <w:style w:type="paragraph" w:customStyle="1" w:styleId="sangria">
    <w:name w:val="sangria"/>
    <w:basedOn w:val="Normal"/>
    <w:rsid w:val="004C6B13"/>
    <w:pPr>
      <w:spacing w:before="100" w:beforeAutospacing="1" w:after="100" w:afterAutospacing="1" w:line="240" w:lineRule="auto"/>
      <w:ind w:left="240"/>
      <w:jc w:val="both"/>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4C6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351822">
      <w:bodyDiv w:val="1"/>
      <w:marLeft w:val="150"/>
      <w:marRight w:val="150"/>
      <w:marTop w:val="0"/>
      <w:marBottom w:val="0"/>
      <w:divBdr>
        <w:top w:val="none" w:sz="0" w:space="0" w:color="auto"/>
        <w:left w:val="none" w:sz="0" w:space="0" w:color="auto"/>
        <w:bottom w:val="none" w:sz="0" w:space="0" w:color="auto"/>
        <w:right w:val="none" w:sz="0" w:space="0" w:color="auto"/>
      </w:divBdr>
      <w:divsChild>
        <w:div w:id="339893411">
          <w:marLeft w:val="0"/>
          <w:marRight w:val="0"/>
          <w:marTop w:val="0"/>
          <w:marBottom w:val="0"/>
          <w:divBdr>
            <w:top w:val="none" w:sz="0" w:space="0" w:color="auto"/>
            <w:left w:val="none" w:sz="0" w:space="0" w:color="auto"/>
            <w:bottom w:val="none" w:sz="0" w:space="0" w:color="auto"/>
            <w:right w:val="none" w:sz="0" w:space="0" w:color="auto"/>
          </w:divBdr>
          <w:divsChild>
            <w:div w:id="1035619194">
              <w:marLeft w:val="0"/>
              <w:marRight w:val="0"/>
              <w:marTop w:val="0"/>
              <w:marBottom w:val="0"/>
              <w:divBdr>
                <w:top w:val="none" w:sz="0" w:space="0" w:color="auto"/>
                <w:left w:val="none" w:sz="0" w:space="0" w:color="auto"/>
                <w:bottom w:val="none" w:sz="0" w:space="0" w:color="auto"/>
                <w:right w:val="none" w:sz="0" w:space="0" w:color="auto"/>
              </w:divBdr>
              <w:divsChild>
                <w:div w:id="1153907140">
                  <w:marLeft w:val="0"/>
                  <w:marRight w:val="0"/>
                  <w:marTop w:val="1500"/>
                  <w:marBottom w:val="0"/>
                  <w:divBdr>
                    <w:top w:val="none" w:sz="0" w:space="0" w:color="auto"/>
                    <w:left w:val="none" w:sz="0" w:space="0" w:color="auto"/>
                    <w:bottom w:val="none" w:sz="0" w:space="0" w:color="auto"/>
                    <w:right w:val="none" w:sz="0" w:space="0" w:color="auto"/>
                  </w:divBdr>
                  <w:divsChild>
                    <w:div w:id="1512910586">
                      <w:marLeft w:val="0"/>
                      <w:marRight w:val="0"/>
                      <w:marTop w:val="1500"/>
                      <w:marBottom w:val="0"/>
                      <w:divBdr>
                        <w:top w:val="none" w:sz="0" w:space="0" w:color="auto"/>
                        <w:left w:val="none" w:sz="0" w:space="0" w:color="auto"/>
                        <w:bottom w:val="none" w:sz="0" w:space="0" w:color="auto"/>
                        <w:right w:val="none" w:sz="0" w:space="0" w:color="auto"/>
                      </w:divBdr>
                      <w:divsChild>
                        <w:div w:id="1306276039">
                          <w:marLeft w:val="0"/>
                          <w:marRight w:val="0"/>
                          <w:marTop w:val="1500"/>
                          <w:marBottom w:val="0"/>
                          <w:divBdr>
                            <w:top w:val="none" w:sz="0" w:space="0" w:color="auto"/>
                            <w:left w:val="none" w:sz="0" w:space="0" w:color="auto"/>
                            <w:bottom w:val="none" w:sz="0" w:space="0" w:color="auto"/>
                            <w:right w:val="none" w:sz="0" w:space="0" w:color="auto"/>
                          </w:divBdr>
                          <w:divsChild>
                            <w:div w:id="1420785287">
                              <w:marLeft w:val="0"/>
                              <w:marRight w:val="0"/>
                              <w:marTop w:val="1500"/>
                              <w:marBottom w:val="0"/>
                              <w:divBdr>
                                <w:top w:val="none" w:sz="0" w:space="0" w:color="auto"/>
                                <w:left w:val="none" w:sz="0" w:space="0" w:color="auto"/>
                                <w:bottom w:val="none" w:sz="0" w:space="0" w:color="auto"/>
                                <w:right w:val="none" w:sz="0" w:space="0" w:color="auto"/>
                              </w:divBdr>
                              <w:divsChild>
                                <w:div w:id="1433208518">
                                  <w:marLeft w:val="0"/>
                                  <w:marRight w:val="0"/>
                                  <w:marTop w:val="1500"/>
                                  <w:marBottom w:val="0"/>
                                  <w:divBdr>
                                    <w:top w:val="none" w:sz="0" w:space="0" w:color="auto"/>
                                    <w:left w:val="none" w:sz="0" w:space="0" w:color="auto"/>
                                    <w:bottom w:val="none" w:sz="0" w:space="0" w:color="auto"/>
                                    <w:right w:val="none" w:sz="0" w:space="0" w:color="auto"/>
                                  </w:divBdr>
                                  <w:divsChild>
                                    <w:div w:id="249240146">
                                      <w:marLeft w:val="0"/>
                                      <w:marRight w:val="0"/>
                                      <w:marTop w:val="1500"/>
                                      <w:marBottom w:val="0"/>
                                      <w:divBdr>
                                        <w:top w:val="none" w:sz="0" w:space="0" w:color="auto"/>
                                        <w:left w:val="none" w:sz="0" w:space="0" w:color="auto"/>
                                        <w:bottom w:val="none" w:sz="0" w:space="0" w:color="auto"/>
                                        <w:right w:val="none" w:sz="0" w:space="0" w:color="auto"/>
                                      </w:divBdr>
                                      <w:divsChild>
                                        <w:div w:id="860778941">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2373</Words>
  <Characters>13057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2011-10-20T19:09:00Z</dcterms:created>
  <dcterms:modified xsi:type="dcterms:W3CDTF">2011-10-20T22:51:00Z</dcterms:modified>
</cp:coreProperties>
</file>