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Borders>
          <w:top w:val="single" w:sz="12" w:space="0" w:color="562C00"/>
          <w:left w:val="single" w:sz="12" w:space="0" w:color="562C00"/>
          <w:bottom w:val="single" w:sz="12" w:space="0" w:color="562C00"/>
          <w:right w:val="single" w:sz="12" w:space="0" w:color="562C00"/>
        </w:tblBorders>
        <w:shd w:val="clear" w:color="auto" w:fill="FFFFFF"/>
        <w:tblCellMar>
          <w:top w:w="75" w:type="dxa"/>
          <w:left w:w="75" w:type="dxa"/>
          <w:bottom w:w="75" w:type="dxa"/>
          <w:right w:w="75" w:type="dxa"/>
        </w:tblCellMar>
        <w:tblLook w:val="04A0" w:firstRow="1" w:lastRow="0" w:firstColumn="1" w:lastColumn="0" w:noHBand="0" w:noVBand="1"/>
      </w:tblPr>
      <w:tblGrid>
        <w:gridCol w:w="8777"/>
      </w:tblGrid>
      <w:tr w:rsidR="00D73854" w:rsidRPr="00D73854" w:rsidTr="00BD0A8D">
        <w:trPr>
          <w:tblCellSpacing w:w="0" w:type="dxa"/>
          <w:jc w:val="center"/>
        </w:trPr>
        <w:tc>
          <w:tcPr>
            <w:tcW w:w="0" w:type="auto"/>
            <w:shd w:val="clear" w:color="auto" w:fill="FFFFFF"/>
            <w:vAlign w:val="center"/>
            <w:hideMark/>
          </w:tcPr>
          <w:p w:rsidR="00BD0A8D" w:rsidRPr="00BD0A8D" w:rsidRDefault="00BD0A8D" w:rsidP="00BD0A8D">
            <w:pPr>
              <w:spacing w:after="0" w:line="281" w:lineRule="atLeast"/>
              <w:rPr>
                <w:rFonts w:eastAsia="Times New Roman" w:cs="Arial"/>
                <w:sz w:val="18"/>
                <w:szCs w:val="18"/>
                <w:lang w:eastAsia="es-MX"/>
              </w:rPr>
            </w:pPr>
            <w:bookmarkStart w:id="0" w:name="_GoBack"/>
            <w:r w:rsidRPr="00BD0A8D">
              <w:rPr>
                <w:rFonts w:eastAsia="Times New Roman" w:cs="Arial"/>
                <w:sz w:val="18"/>
                <w:szCs w:val="18"/>
                <w:lang w:eastAsia="es-MX"/>
              </w:rPr>
              <w:t>Oficio con el que remite:</w:t>
            </w:r>
            <w:r w:rsidRPr="00BD0A8D">
              <w:rPr>
                <w:rFonts w:eastAsia="Times New Roman" w:cs="Arial"/>
                <w:sz w:val="18"/>
                <w:szCs w:val="18"/>
                <w:lang w:eastAsia="es-MX"/>
              </w:rPr>
              <w:br/>
              <w:t>Proyecto de decreto que reforma y adiciona diversas disposiciones de los artículos 6o.; 7o.; 27; 28; 73; 78, 94 y 105 de la Constitución Política de los Estados Unidos Mexicanos, en materia de telecomunicaciones, devuelto con modificaciones, para los efectos de la fracción e) del artículo 72 constitucional.</w:t>
            </w:r>
          </w:p>
        </w:tc>
      </w:tr>
      <w:tr w:rsidR="00D73854" w:rsidRPr="00D73854" w:rsidTr="00BD0A8D">
        <w:trPr>
          <w:tblCellSpacing w:w="0" w:type="dxa"/>
          <w:jc w:val="center"/>
        </w:trPr>
        <w:tc>
          <w:tcPr>
            <w:tcW w:w="0" w:type="auto"/>
            <w:shd w:val="clear" w:color="auto" w:fill="FFFFFF"/>
            <w:vAlign w:val="center"/>
            <w:hideMark/>
          </w:tcPr>
          <w:p w:rsidR="00BD0A8D" w:rsidRPr="00BD0A8D" w:rsidRDefault="00BD0A8D" w:rsidP="00BD0A8D">
            <w:pPr>
              <w:spacing w:after="100" w:line="281" w:lineRule="atLeast"/>
              <w:rPr>
                <w:rFonts w:eastAsia="Times New Roman" w:cs="Arial"/>
                <w:sz w:val="18"/>
                <w:szCs w:val="18"/>
                <w:lang w:eastAsia="es-MX"/>
              </w:rPr>
            </w:pPr>
            <w:r w:rsidRPr="00D73854">
              <w:rPr>
                <w:rFonts w:eastAsia="Times New Roman" w:cs="Arial"/>
                <w:b/>
                <w:bCs/>
                <w:i/>
                <w:iCs/>
                <w:sz w:val="18"/>
                <w:szCs w:val="18"/>
                <w:lang w:eastAsia="es-MX"/>
              </w:rPr>
              <w:t>LA MESA DIRECTIVA INFORMÓ DE SU RECEPCIÓN Y SE TURNÓ A LAS COMISIONES UNIDAS DE PUNTOS CONSTITUCIONALES, DE COMUNICACIONES Y TRANSPORTES, DE RADIO, TELEVISIÓN Y CINEMATOGRAFÍA Y DE ESTUDIOS LEGISLATIVOS, CON OPINIÓN DE LAS COMISIONES DE GOBERNACIÓN Y DE JUSTICIA, EL VIERNES 26 DE ABRIL.</w:t>
            </w:r>
          </w:p>
        </w:tc>
      </w:tr>
      <w:tr w:rsidR="00D73854" w:rsidRPr="00D73854" w:rsidTr="00BD0A8D">
        <w:trPr>
          <w:tblCellSpacing w:w="0" w:type="dxa"/>
          <w:jc w:val="center"/>
        </w:trPr>
        <w:tc>
          <w:tcPr>
            <w:tcW w:w="0" w:type="auto"/>
            <w:shd w:val="clear" w:color="auto" w:fill="FFFFFF"/>
            <w:vAlign w:val="center"/>
            <w:hideMark/>
          </w:tcPr>
          <w:p w:rsidR="00BD0A8D" w:rsidRPr="00BD0A8D" w:rsidRDefault="00BD0A8D" w:rsidP="00BD0A8D">
            <w:pPr>
              <w:spacing w:after="240" w:line="281" w:lineRule="atLeast"/>
              <w:rPr>
                <w:rFonts w:eastAsia="Times New Roman" w:cs="Arial"/>
                <w:sz w:val="18"/>
                <w:szCs w:val="18"/>
                <w:lang w:eastAsia="es-MX"/>
              </w:rPr>
            </w:pPr>
            <w:r w:rsidRPr="00BD0A8D">
              <w:rPr>
                <w:rFonts w:eastAsia="Times New Roman" w:cs="Arial"/>
                <w:b/>
                <w:bCs/>
                <w:i/>
                <w:iCs/>
                <w:sz w:val="18"/>
                <w:szCs w:val="18"/>
                <w:lang w:eastAsia="es-MX"/>
              </w:rPr>
              <w:t>Documentos Relacionados:</w:t>
            </w:r>
          </w:p>
        </w:tc>
      </w:tr>
      <w:tr w:rsidR="00D73854" w:rsidRPr="00D73854" w:rsidTr="00BD0A8D">
        <w:trPr>
          <w:tblCellSpacing w:w="0" w:type="dxa"/>
          <w:jc w:val="center"/>
        </w:trPr>
        <w:tc>
          <w:tcPr>
            <w:tcW w:w="0" w:type="auto"/>
            <w:shd w:val="clear" w:color="auto" w:fill="FFFFFF"/>
            <w:vAlign w:val="center"/>
            <w:hideMark/>
          </w:tcPr>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t>ARTÍCULO ÚNICO</w:t>
            </w:r>
            <w:r w:rsidRPr="00BD0A8D">
              <w:rPr>
                <w:rFonts w:eastAsia="Times New Roman" w:cs="Arial"/>
                <w:sz w:val="18"/>
                <w:szCs w:val="18"/>
                <w:lang w:eastAsia="es-MX"/>
              </w:rPr>
              <w:t>. Se</w:t>
            </w:r>
            <w:r w:rsidRPr="00D73854">
              <w:rPr>
                <w:rFonts w:eastAsia="Times New Roman" w:cs="Arial"/>
                <w:sz w:val="18"/>
                <w:szCs w:val="18"/>
                <w:lang w:eastAsia="es-MX"/>
              </w:rPr>
              <w:t> </w:t>
            </w:r>
            <w:r w:rsidRPr="00D73854">
              <w:rPr>
                <w:rFonts w:eastAsia="Times New Roman" w:cs="Arial"/>
                <w:b/>
                <w:bCs/>
                <w:sz w:val="18"/>
                <w:szCs w:val="18"/>
                <w:lang w:eastAsia="es-MX"/>
              </w:rPr>
              <w:t>REFORMAN </w:t>
            </w:r>
            <w:r w:rsidRPr="00BD0A8D">
              <w:rPr>
                <w:rFonts w:eastAsia="Times New Roman" w:cs="Arial"/>
                <w:sz w:val="18"/>
                <w:szCs w:val="18"/>
                <w:lang w:eastAsia="es-MX"/>
              </w:rPr>
              <w:t>el párrafo primero del artículo 6o.; el artículo 7o.; el párrafo sexto del artículo 27; el párrafo segundo del artículo 28; la fracción XVII del artículo 73; la fracción VII del artículo 78 y el párrafo sexto del artículo 94; y se</w:t>
            </w:r>
            <w:r w:rsidRPr="00D73854">
              <w:rPr>
                <w:rFonts w:eastAsia="Times New Roman" w:cs="Arial"/>
                <w:sz w:val="18"/>
                <w:szCs w:val="18"/>
                <w:lang w:eastAsia="es-MX"/>
              </w:rPr>
              <w:t> </w:t>
            </w:r>
            <w:r w:rsidRPr="00D73854">
              <w:rPr>
                <w:rFonts w:eastAsia="Times New Roman" w:cs="Arial"/>
                <w:b/>
                <w:bCs/>
                <w:sz w:val="18"/>
                <w:szCs w:val="18"/>
                <w:lang w:eastAsia="es-MX"/>
              </w:rPr>
              <w:t>ADICIONAN </w:t>
            </w:r>
            <w:r w:rsidRPr="00BD0A8D">
              <w:rPr>
                <w:rFonts w:eastAsia="Times New Roman" w:cs="Arial"/>
                <w:sz w:val="18"/>
                <w:szCs w:val="18"/>
                <w:lang w:eastAsia="es-MX"/>
              </w:rPr>
              <w:t xml:space="preserve">los párrafos segundo, tercero y cuarto, pasando el actual párrafo segundo a ser apartado A del párrafo cuarto, y un apartado B al artículo 6o.; los párrafos decimotercero </w:t>
            </w:r>
            <w:proofErr w:type="spellStart"/>
            <w:r w:rsidRPr="00BD0A8D">
              <w:rPr>
                <w:rFonts w:eastAsia="Times New Roman" w:cs="Arial"/>
                <w:sz w:val="18"/>
                <w:szCs w:val="18"/>
                <w:lang w:eastAsia="es-MX"/>
              </w:rPr>
              <w:t>altrigésimo</w:t>
            </w:r>
            <w:proofErr w:type="spellEnd"/>
            <w:r w:rsidRPr="00BD0A8D">
              <w:rPr>
                <w:rFonts w:eastAsia="Times New Roman" w:cs="Arial"/>
                <w:sz w:val="18"/>
                <w:szCs w:val="18"/>
                <w:lang w:eastAsia="es-MX"/>
              </w:rPr>
              <w:t xml:space="preserve"> del artículo 28, y un inciso l) a la fracción I del artículo 105, todos de la Constitución Política de los Estados Unidos Mexicanos, para quedar como sigue:</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t>Artículo 6o.</w:t>
            </w:r>
            <w:r w:rsidRPr="00D73854">
              <w:rPr>
                <w:rFonts w:eastAsia="Times New Roman" w:cs="Arial"/>
                <w:sz w:val="18"/>
                <w:szCs w:val="18"/>
                <w:lang w:eastAsia="es-MX"/>
              </w:rPr>
              <w:t> </w:t>
            </w:r>
            <w:r w:rsidRPr="00BD0A8D">
              <w:rPr>
                <w:rFonts w:eastAsia="Times New Roman" w:cs="Arial"/>
                <w:sz w:val="18"/>
                <w:szCs w:val="18"/>
                <w:lang w:eastAsia="es-MX"/>
              </w:rPr>
              <w:t>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Toda persona tiene derecho al libre acceso a información plural y oportuna, así como a buscar, recibir y difundir información e ideas de toda índole por cualquier medio de expresión.</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Para efectos de lo dispuesto en el presente artículo se observará lo siguiente:</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A. Para el ejercicio del derecho de acceso a la información, la Federación, los Estados y el Distrito Federal, en el ámbito de sus respectivas competencias, se regirán por los siguientes principios y bases: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 a VII. …</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B. En materia de radiodifusión y telecomunicaciones: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 El Estado garantizará a la población su integración a la sociedad de la información y el conocimiento, mediante una política de inclusión digital universal con metas anuales y sexenales.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 xml:space="preserve">II. Las telecomunicaciones son servicios públicos de interés general, por lo que el Estado garantizará que sean prestados en condiciones de competencia, calidad, pluralidad, cobertura universal, interconexión, </w:t>
            </w:r>
            <w:r w:rsidRPr="00BD0A8D">
              <w:rPr>
                <w:rFonts w:eastAsia="Times New Roman" w:cs="Arial"/>
                <w:sz w:val="18"/>
                <w:szCs w:val="18"/>
                <w:lang w:eastAsia="es-MX"/>
              </w:rPr>
              <w:lastRenderedPageBreak/>
              <w:t>convergencia, continuidad, acceso libre y sin injerencias arbitrarias.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III.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IV. 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V. La ley establecerá un organismo público descentralizado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El Presidente del organismo presentará anualmente a los Poderes Ejecutivo y Legislativo de la Unión un informe de actividades; al efecto comparecerá ante las Cámaras del Congreso en los términos que dispongan las leyes.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VI. La ley establecerá los derechos de los usuarios de telecomunicaciones, de las audiencias, así como los mecanismos para su protección.</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t>Artículo 7o.</w:t>
            </w:r>
            <w:r w:rsidRPr="00D73854">
              <w:rPr>
                <w:rFonts w:eastAsia="Times New Roman" w:cs="Arial"/>
                <w:sz w:val="18"/>
                <w:szCs w:val="18"/>
                <w:lang w:eastAsia="es-MX"/>
              </w:rPr>
              <w:t> </w:t>
            </w:r>
            <w:r w:rsidRPr="00BD0A8D">
              <w:rPr>
                <w:rFonts w:eastAsia="Times New Roman" w:cs="Arial"/>
                <w:sz w:val="18"/>
                <w:szCs w:val="18"/>
                <w:lang w:eastAsia="es-MX"/>
              </w:rPr>
              <w:t xml:space="preserve">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w:t>
            </w:r>
            <w:r w:rsidRPr="00BD0A8D">
              <w:rPr>
                <w:rFonts w:eastAsia="Times New Roman" w:cs="Arial"/>
                <w:sz w:val="18"/>
                <w:szCs w:val="18"/>
                <w:lang w:eastAsia="es-MX"/>
              </w:rPr>
              <w:lastRenderedPageBreak/>
              <w:t>comunicación encaminados a impedir la transmisión y circulación de ideas y opiniones.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t>Artículo 27. </w:t>
            </w: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del petróleo y de los carburos de hidrógeno sólidos, líquidos o gaseosos o de minerales radioactivos, no se otorgarán concesiones ni contratos, ni subsistirán los que en su caso se hayan otorgado y la Nación llevará a cabo la explotación de esos productos, en los términos que señale la Ley Reglamentaria respectiva. Corresponde exclusivamente a la Nación generar, conducir, transformar, distribuir y abastecer energía eléctrica que tenga por objeto la prestación de servicio público. En esta materia no se otorgarán concesiones a los particulares y la Nación aprovechará los bienes y recursos naturales que se requieran para dichos fines.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t>Artículo 28. …</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 xml:space="preserve">En consecuencia, la ley castigará severamente, y las autoridades perseguirán con eficacia, toda </w:t>
            </w:r>
            <w:r w:rsidRPr="00BD0A8D">
              <w:rPr>
                <w:rFonts w:eastAsia="Times New Roman" w:cs="Arial"/>
                <w:sz w:val="18"/>
                <w:szCs w:val="18"/>
                <w:lang w:eastAsia="es-MX"/>
              </w:rPr>
              <w:lastRenderedPageBreak/>
              <w:t>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lastRenderedPageBreak/>
              <w:t xml:space="preserve">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w:t>
            </w:r>
            <w:proofErr w:type="spellStart"/>
            <w:r w:rsidRPr="00BD0A8D">
              <w:rPr>
                <w:rFonts w:eastAsia="Times New Roman" w:cs="Arial"/>
                <w:sz w:val="18"/>
                <w:szCs w:val="18"/>
                <w:lang w:eastAsia="es-MX"/>
              </w:rPr>
              <w:t>concesionamiento</w:t>
            </w:r>
            <w:proofErr w:type="spellEnd"/>
            <w:r w:rsidRPr="00BD0A8D">
              <w:rPr>
                <w:rFonts w:eastAsia="Times New Roman" w:cs="Arial"/>
                <w:sz w:val="18"/>
                <w:szCs w:val="18"/>
                <w:lang w:eastAsia="es-MX"/>
              </w:rPr>
              <w:t xml:space="preserve"> y a la propiedad cruzada que </w:t>
            </w:r>
            <w:proofErr w:type="spellStart"/>
            <w:r w:rsidRPr="00BD0A8D">
              <w:rPr>
                <w:rFonts w:eastAsia="Times New Roman" w:cs="Arial"/>
                <w:sz w:val="18"/>
                <w:szCs w:val="18"/>
                <w:lang w:eastAsia="es-MX"/>
              </w:rPr>
              <w:t>controlevarios</w:t>
            </w:r>
            <w:proofErr w:type="spellEnd"/>
            <w:r w:rsidRPr="00BD0A8D">
              <w:rPr>
                <w:rFonts w:eastAsia="Times New Roman" w:cs="Arial"/>
                <w:sz w:val="18"/>
                <w:szCs w:val="18"/>
                <w:lang w:eastAsia="es-MX"/>
              </w:rPr>
              <w:t xml:space="preserve"> medios de comunicación que sean concesionarios de radiodifusión y telecomunicaciones </w:t>
            </w:r>
            <w:proofErr w:type="spellStart"/>
            <w:r w:rsidRPr="00BD0A8D">
              <w:rPr>
                <w:rFonts w:eastAsia="Times New Roman" w:cs="Arial"/>
                <w:sz w:val="18"/>
                <w:szCs w:val="18"/>
                <w:lang w:eastAsia="es-MX"/>
              </w:rPr>
              <w:t>quesirvan</w:t>
            </w:r>
            <w:proofErr w:type="spellEnd"/>
            <w:r w:rsidRPr="00BD0A8D">
              <w:rPr>
                <w:rFonts w:eastAsia="Times New Roman" w:cs="Arial"/>
                <w:sz w:val="18"/>
                <w:szCs w:val="18"/>
                <w:lang w:eastAsia="es-MX"/>
              </w:rPr>
              <w:t xml:space="preserve"> a un mismo mercado o zona de cobertura geográfica, y ordenará la desincorporación de activos, derechos o partes necesarias para asegurar el cumplimiento de estos límites, garantizando lo dispuesto en los artículos 6o. y 7o. de esta Constitución.</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w:t>
            </w:r>
            <w:proofErr w:type="spellStart"/>
            <w:r w:rsidRPr="00BD0A8D">
              <w:rPr>
                <w:rFonts w:eastAsia="Times New Roman" w:cs="Arial"/>
                <w:sz w:val="18"/>
                <w:szCs w:val="18"/>
                <w:lang w:eastAsia="es-MX"/>
              </w:rPr>
              <w:t>quese</w:t>
            </w:r>
            <w:proofErr w:type="spellEnd"/>
            <w:r w:rsidRPr="00BD0A8D">
              <w:rPr>
                <w:rFonts w:eastAsia="Times New Roman" w:cs="Arial"/>
                <w:sz w:val="18"/>
                <w:szCs w:val="18"/>
                <w:lang w:eastAsia="es-MX"/>
              </w:rPr>
              <w:t xml:space="preserv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El Instituto Federal de Telecomunicaciones garantizará que el Gobierno Federal cuente con las concesiones necesarias para el ejercicio de sus funciones.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La Comisión Federal de Competencia Económica y el Instituto Federal de Telecomunicaciones, serán independientes en sus decisiones y funcionamiento, profesionales en su desempeño e imparciales en sus actuaciones, y se regirán conforme a lo siguiente:</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 Dictarán sus resoluciones con plena independencia;</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 xml:space="preserve">II. Ejercerán su presupuesto de forma autónoma. La Cámara de Diputados garantizará la suficiencia </w:t>
            </w:r>
            <w:r w:rsidRPr="00BD0A8D">
              <w:rPr>
                <w:rFonts w:eastAsia="Times New Roman" w:cs="Arial"/>
                <w:sz w:val="18"/>
                <w:szCs w:val="18"/>
                <w:lang w:eastAsia="es-MX"/>
              </w:rPr>
              <w:lastRenderedPageBreak/>
              <w:t>presupuestal a fin de permitirles el ejercicio eficaz y oportuno de sus competencias;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III. Emitirán su propio estatuto orgánico, mediante un sistema de votación por mayoría calificada;</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IV. Podrán emitir disposiciones administrativas de carácter general exclusivamente para el cumplimiento de su función regulatoria en el sector de su competencia;</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V. Las leyes garantizarán, dentro de cada organismo, la separación entre la autoridad que conoce de la etapa de investigación y la que resuelve en los procedimientos que se sustancien en forma de juicio;</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VI. 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 xml:space="preserve">VII. Las normas generales, actos u omisiones de la Comisión Federal de Competencia Económica y del Instituto Federal de Telecomunicaciones podrán ser impugnados únicamente mediante el juicio de amparo indirecto y no serán objeto de </w:t>
            </w:r>
            <w:proofErr w:type="spellStart"/>
            <w:r w:rsidRPr="00BD0A8D">
              <w:rPr>
                <w:rFonts w:eastAsia="Times New Roman" w:cs="Arial"/>
                <w:sz w:val="18"/>
                <w:szCs w:val="18"/>
                <w:lang w:eastAsia="es-MX"/>
              </w:rPr>
              <w:t>suspensión.Solamente</w:t>
            </w:r>
            <w:proofErr w:type="spellEnd"/>
            <w:r w:rsidRPr="00BD0A8D">
              <w:rPr>
                <w:rFonts w:eastAsia="Times New Roman" w:cs="Arial"/>
                <w:sz w:val="18"/>
                <w:szCs w:val="18"/>
                <w:lang w:eastAsia="es-MX"/>
              </w:rPr>
              <w:t xml:space="preserve"> en los casos en que la Comisión Federal de Competencia Económica imponga multas o la desincorporación de activos, derechos, partes sociales o acciones,</w:t>
            </w:r>
            <w:r w:rsidRPr="00D73854">
              <w:rPr>
                <w:rFonts w:eastAsia="Times New Roman" w:cs="Arial"/>
                <w:sz w:val="18"/>
                <w:szCs w:val="18"/>
                <w:lang w:eastAsia="es-MX"/>
              </w:rPr>
              <w:t> </w:t>
            </w:r>
            <w:r w:rsidRPr="00D73854">
              <w:rPr>
                <w:rFonts w:eastAsia="Times New Roman" w:cs="Arial"/>
                <w:b/>
                <w:bCs/>
                <w:sz w:val="18"/>
                <w:szCs w:val="18"/>
                <w:lang w:eastAsia="es-MX"/>
              </w:rPr>
              <w:t>éstas </w:t>
            </w:r>
            <w:r w:rsidRPr="00BD0A8D">
              <w:rPr>
                <w:rFonts w:eastAsia="Times New Roman" w:cs="Arial"/>
                <w:sz w:val="18"/>
                <w:szCs w:val="18"/>
                <w:lang w:eastAsia="es-MX"/>
              </w:rPr>
              <w:t xml:space="preserve">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w:t>
            </w:r>
            <w:proofErr w:type="spellStart"/>
            <w:r w:rsidRPr="00BD0A8D">
              <w:rPr>
                <w:rFonts w:eastAsia="Times New Roman" w:cs="Arial"/>
                <w:sz w:val="18"/>
                <w:szCs w:val="18"/>
                <w:lang w:eastAsia="es-MX"/>
              </w:rPr>
              <w:t>intraprocesales</w:t>
            </w:r>
            <w:proofErr w:type="spellEnd"/>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VIII. 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 El Ejecutivo Federal podrá solicitar a cualquiera de las Cámaras la comparecencia de los titulares ante éstas;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IX. Las leyes promoverán para estos órganos la transparencia gubernamental bajo principios de gobierno digital y datos abiertos;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X. La retribución que perciban los Comisionados deberá ajustarse a lo previsto en el artículo 127 de esta Constitución;</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XI. Los comisionados de los órganos podrán ser removidos de su cargo por las dos terceras partes de los miembros presentes del Senado de la República, por falta grave en el ejercicio de sus funciones, en los términos que disponga la ley, y</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XII. Cada órgano contará con una Contraloría Interna, cuyo titular será designado por las dos terceras partes de los miembros presentes de la Cámara de Diputados, en los términos que disponga la ley.</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lastRenderedPageBreak/>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 su encargo como comisionado.</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Los comisionados deberán cumplir los siguientes requisitos: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 Ser ciudadano mexicano por nacimiento y estar en pleno goce de sus derechos civiles y políticos;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II. Ser mayor de treinta y cinco años;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III. Gozar de buena reputación y no haber sido condenado por delito doloso que amerite pena de prisión por más de un año;</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IV. Poseer título profesional;</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V. Haberse desempeñado, cuando menos tres años, en forma destacada en actividades profesionales, de servicio público o académicas sustancialmente relacionadas con materias afines a las de competencia económica, radiodifusión o telecomunicaciones, según corresponda;</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VI. Acreditar, en los términos de este precepto, los conocimientos técnicos necesarios para el ejercicio del cargo;</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VII. No haber sido Secretario de Estado, Procurador General de la República, senador, diputado federal o local, Gobernador de algún Estado o Jefe de Gobierno del Distrito Federal, durante el año previo a su nombramiento, y</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VIII. 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 del Instituto.</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 xml:space="preserve">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w:t>
            </w:r>
            <w:r w:rsidRPr="00BD0A8D">
              <w:rPr>
                <w:rFonts w:eastAsia="Times New Roman" w:cs="Arial"/>
                <w:sz w:val="18"/>
                <w:szCs w:val="18"/>
                <w:lang w:eastAsia="es-MX"/>
              </w:rPr>
              <w:lastRenderedPageBreak/>
              <w:t xml:space="preserve">competencia con personas que representen los intereses de </w:t>
            </w:r>
            <w:proofErr w:type="spellStart"/>
            <w:r w:rsidRPr="00BD0A8D">
              <w:rPr>
                <w:rFonts w:eastAsia="Times New Roman" w:cs="Arial"/>
                <w:sz w:val="18"/>
                <w:szCs w:val="18"/>
                <w:lang w:eastAsia="es-MX"/>
              </w:rPr>
              <w:t>losagentes</w:t>
            </w:r>
            <w:proofErr w:type="spellEnd"/>
            <w:r w:rsidRPr="00BD0A8D">
              <w:rPr>
                <w:rFonts w:eastAsia="Times New Roman" w:cs="Arial"/>
                <w:sz w:val="18"/>
                <w:szCs w:val="18"/>
                <w:lang w:eastAsia="es-MX"/>
              </w:rPr>
              <w:t xml:space="preserve"> económicos regulados.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Para la formulación del examen de conocimientos, el Comité de Evaluación deberá considerar la opinión de cuando menos dos instituciones de educación superior y seguirá las mejores prácticas en la materia.</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Todos los actos del proceso de selección y designación de los Comisionados son inatacables.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t>Artículo 73.</w:t>
            </w:r>
            <w:r w:rsidRPr="00D73854">
              <w:rPr>
                <w:rFonts w:eastAsia="Times New Roman" w:cs="Arial"/>
                <w:sz w:val="18"/>
                <w:szCs w:val="18"/>
                <w:lang w:eastAsia="es-MX"/>
              </w:rPr>
              <w:t> </w:t>
            </w:r>
            <w:r w:rsidRPr="00BD0A8D">
              <w:rPr>
                <w:rFonts w:eastAsia="Times New Roman" w:cs="Arial"/>
                <w:sz w:val="18"/>
                <w:szCs w:val="18"/>
                <w:lang w:eastAsia="es-MX"/>
              </w:rPr>
              <w:t>El Congreso tiene facultad:</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 a XVI. …</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XVII. Para dictar leyes sobre vías generales de comunicación, tecnologías de la información y la comunicación, radiodifusión, telecomunicaciones, incluida la banda ancha e Internet, postas y correos, y sobre el uso y aprovechamiento de las aguas de jurisdicción federal.</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lastRenderedPageBreak/>
              <w:t>XVIII. a XXX. …</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t>Artículo 78. …</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 a VI. …</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VII. 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VIII</w:t>
            </w:r>
            <w:proofErr w:type="gramStart"/>
            <w:r w:rsidRPr="00BD0A8D">
              <w:rPr>
                <w:rFonts w:eastAsia="Times New Roman" w:cs="Arial"/>
                <w:sz w:val="18"/>
                <w:szCs w:val="18"/>
                <w:lang w:eastAsia="es-MX"/>
              </w:rPr>
              <w:t>. …</w:t>
            </w:r>
            <w:proofErr w:type="gramEnd"/>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t>Artículo 94. …</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lastRenderedPageBreak/>
              <w:t>Artículo 105…</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proofErr w:type="gramStart"/>
            <w:r w:rsidRPr="00BD0A8D">
              <w:rPr>
                <w:rFonts w:eastAsia="Times New Roman" w:cs="Arial"/>
                <w:sz w:val="18"/>
                <w:szCs w:val="18"/>
                <w:lang w:eastAsia="es-MX"/>
              </w:rPr>
              <w:t>I.</w:t>
            </w:r>
            <w:proofErr w:type="gramEnd"/>
            <w:r w:rsidRPr="00BD0A8D">
              <w:rPr>
                <w:rFonts w:eastAsia="Times New Roman" w:cs="Arial"/>
                <w:sz w:val="18"/>
                <w:szCs w:val="18"/>
                <w:lang w:eastAsia="es-MX"/>
              </w:rPr>
              <w:t xml:space="preserve"> …</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a) a i) …</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j) Un Estado y un Municipio de otro Estado, sobre la constitucionalidad de sus actos o disposiciones generales;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k) Dos órganos de gobierno del Distrito Federal, sobre la constitucionalidad de sus actos o disposiciones generales, y</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l) Dos órganos constitucionales autónomos, y entre uno de éstos y el Poder Ejecutivo de la Unión o el Congreso de la Unión sobre la constitucionalidad de sus actos o disposiciones generales.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II. y III. …</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t>TRANSITORIOS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t>PRIMERO.</w:t>
            </w:r>
            <w:r w:rsidRPr="00D73854">
              <w:rPr>
                <w:rFonts w:eastAsia="Times New Roman" w:cs="Arial"/>
                <w:sz w:val="18"/>
                <w:szCs w:val="18"/>
                <w:lang w:eastAsia="es-MX"/>
              </w:rPr>
              <w:t> </w:t>
            </w:r>
            <w:r w:rsidRPr="00BD0A8D">
              <w:rPr>
                <w:rFonts w:eastAsia="Times New Roman" w:cs="Arial"/>
                <w:sz w:val="18"/>
                <w:szCs w:val="18"/>
                <w:lang w:eastAsia="es-MX"/>
              </w:rPr>
              <w:t>El presente Decreto entrará en vigor al día siguiente de su publicación en el Diario Oficial de la Federación.</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t>SEGUNDO.</w:t>
            </w:r>
            <w:r w:rsidRPr="00D73854">
              <w:rPr>
                <w:rFonts w:eastAsia="Times New Roman" w:cs="Arial"/>
                <w:sz w:val="18"/>
                <w:szCs w:val="18"/>
                <w:lang w:eastAsia="es-MX"/>
              </w:rPr>
              <w:t> </w:t>
            </w:r>
            <w:r w:rsidRPr="00BD0A8D">
              <w:rPr>
                <w:rFonts w:eastAsia="Times New Roman" w:cs="Arial"/>
                <w:sz w:val="18"/>
                <w:szCs w:val="18"/>
                <w:lang w:eastAsia="es-MX"/>
              </w:rPr>
              <w:t>Las medidas de fomento a la competencia en televisión, radio, telefonía y servicios de datos, deberán aplicarse en todos los segmentos de forma que se garantice en su conjunto la competencia efectiva en la radiodifusión y telecomunicaciones.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t>TERCERO.</w:t>
            </w:r>
            <w:r w:rsidRPr="00D73854">
              <w:rPr>
                <w:rFonts w:eastAsia="Times New Roman" w:cs="Arial"/>
                <w:sz w:val="18"/>
                <w:szCs w:val="18"/>
                <w:lang w:eastAsia="es-MX"/>
              </w:rPr>
              <w:t> </w:t>
            </w:r>
            <w:r w:rsidRPr="00BD0A8D">
              <w:rPr>
                <w:rFonts w:eastAsia="Times New Roman" w:cs="Arial"/>
                <w:sz w:val="18"/>
                <w:szCs w:val="18"/>
                <w:lang w:eastAsia="es-MX"/>
              </w:rPr>
              <w:t>El Congreso de la Unión realizará las adecuaciones necesarias al marco jurídico conforme al presente Decreto dentro de los ciento ochenta días naturales siguientes a su entrada en vigor, y deberá:</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 Establecer tipos penales especiales que castiguen severamente prácticas monopólicas y fenómenos de concentración;</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II.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 xml:space="preserve">III. Establecer los mecanismos para homologar el régimen de permisos y concesiones de radiodifusión, a </w:t>
            </w:r>
            <w:r w:rsidRPr="00BD0A8D">
              <w:rPr>
                <w:rFonts w:eastAsia="Times New Roman" w:cs="Arial"/>
                <w:sz w:val="18"/>
                <w:szCs w:val="18"/>
                <w:lang w:eastAsia="es-MX"/>
              </w:rPr>
              <w:lastRenderedPageBreak/>
              <w:t>efecto de que únicamente existan concesiones, asegurando una diversidad de medios que permita distinguir las concesiones de uso comercial, público, privado y social que incluyen las comunitarias e indígenas;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IV. Regular el derecho de réplica;</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V. Establecer la prohibición de difundir publicidad engañosa o subrepticia;</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VI. Establecer los mecanismos que aseguren la promoción de la producción nacional independiente;</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VII.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VIII.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IX. Crear un Consejo Consultivo del Instituto Federal de Telecomunicaciones, integrado por miembros honorarios y encargado de fungir como órgano asesor en la observancia de los principios establecidos en los artículos 6o. y 7o. constitucionales, y</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X. Aprobar las leyes, reformas y adiciones que deriven del presente Decreto.</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t>CUARTO.</w:t>
            </w:r>
            <w:r w:rsidRPr="00D73854">
              <w:rPr>
                <w:rFonts w:eastAsia="Times New Roman" w:cs="Arial"/>
                <w:sz w:val="18"/>
                <w:szCs w:val="18"/>
                <w:lang w:eastAsia="es-MX"/>
              </w:rPr>
              <w:t> </w:t>
            </w:r>
            <w:r w:rsidRPr="00BD0A8D">
              <w:rPr>
                <w:rFonts w:eastAsia="Times New Roman" w:cs="Arial"/>
                <w:sz w:val="18"/>
                <w:szCs w:val="18"/>
                <w:lang w:eastAsia="es-MX"/>
              </w:rPr>
              <w:t>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La ley establecerá que las concesiones serán únicas, de forma que los concesionarios puedan prestar todo tipo de servicios a través de sus redes, siempre que cumplan con las obligaciones y contraprestaciones que les imponga el Instituto Federal de Telecomunicaciones y en su caso, las contraprestaciones correspondientes.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 xml:space="preserve">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w:t>
            </w:r>
            <w:r w:rsidRPr="00BD0A8D">
              <w:rPr>
                <w:rFonts w:eastAsia="Times New Roman" w:cs="Arial"/>
                <w:sz w:val="18"/>
                <w:szCs w:val="18"/>
                <w:lang w:eastAsia="es-MX"/>
              </w:rPr>
              <w:lastRenderedPageBreak/>
              <w:t>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t>QUINTO.</w:t>
            </w:r>
            <w:r w:rsidRPr="00D73854">
              <w:rPr>
                <w:rFonts w:eastAsia="Times New Roman" w:cs="Arial"/>
                <w:sz w:val="18"/>
                <w:szCs w:val="18"/>
                <w:lang w:eastAsia="es-MX"/>
              </w:rPr>
              <w:t> </w:t>
            </w:r>
            <w:r w:rsidRPr="00BD0A8D">
              <w:rPr>
                <w:rFonts w:eastAsia="Times New Roman" w:cs="Arial"/>
                <w:sz w:val="18"/>
                <w:szCs w:val="18"/>
                <w:lang w:eastAsia="es-MX"/>
              </w:rPr>
              <w:t>A la entrada en vigor del presente Decreto se permitirá la inversión extranjera directa hasta el cien por ciento en telecomunicaciones y comunicación vía satélite.</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t>SEXTO.</w:t>
            </w:r>
            <w:r w:rsidRPr="00D73854">
              <w:rPr>
                <w:rFonts w:eastAsia="Times New Roman" w:cs="Arial"/>
                <w:sz w:val="18"/>
                <w:szCs w:val="18"/>
                <w:lang w:eastAsia="es-MX"/>
              </w:rPr>
              <w:t> </w:t>
            </w:r>
            <w:r w:rsidRPr="00BD0A8D">
              <w:rPr>
                <w:rFonts w:eastAsia="Times New Roman" w:cs="Arial"/>
                <w:sz w:val="18"/>
                <w:szCs w:val="18"/>
                <w:lang w:eastAsia="es-MX"/>
              </w:rPr>
              <w:t>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El Ejecutivo Federal, al someter los nombramientos a la ratificación del Senado de la República, señalará los periodos respectivos.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Para los nombramientos de los primeros Comisionados, tanto de la Comisión Federal de Competencia Económica como del Instituto Federal de Telecomunicaciones, deberá observarse lo siguiente:</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 El Comité de Evaluación a que se refiere el artículo 28 de la Constitución deberá enviar al Ejecutivo Federal las listas de aspirantes respectivas, dentro de los sesenta días naturales siguientes a la entrada en vigor del presente Decreto;</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II. Una vez recibidas las listas, el Ejecutivo Federal deberá remitir sus propuestas al Senado de la República dentro de los diez días naturales siguientes;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 xml:space="preserve">III. El Senado de la República, una vez reunido, </w:t>
            </w:r>
            <w:proofErr w:type="spellStart"/>
            <w:r w:rsidRPr="00BD0A8D">
              <w:rPr>
                <w:rFonts w:eastAsia="Times New Roman" w:cs="Arial"/>
                <w:sz w:val="18"/>
                <w:szCs w:val="18"/>
                <w:lang w:eastAsia="es-MX"/>
              </w:rPr>
              <w:t>contarácon</w:t>
            </w:r>
            <w:proofErr w:type="spellEnd"/>
            <w:r w:rsidRPr="00BD0A8D">
              <w:rPr>
                <w:rFonts w:eastAsia="Times New Roman" w:cs="Arial"/>
                <w:sz w:val="18"/>
                <w:szCs w:val="18"/>
                <w:lang w:eastAsia="es-MX"/>
              </w:rPr>
              <w:t xml:space="preserve"> un plazo de diez días naturales para resolver sobre la propuesta, y</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 xml:space="preserve">IV. En caso de que respecto de una misma vacante el Senado de la República no apruebe en dos </w:t>
            </w:r>
            <w:r w:rsidRPr="00BD0A8D">
              <w:rPr>
                <w:rFonts w:eastAsia="Times New Roman" w:cs="Arial"/>
                <w:sz w:val="18"/>
                <w:szCs w:val="18"/>
                <w:lang w:eastAsia="es-MX"/>
              </w:rPr>
              <w:lastRenderedPageBreak/>
              <w:t>ocasiones la designación del Ejecutivo Federal, corresponderá a éste la designación directa del comisionado respectivo, a partir de la lista de aspirantes presentada por el Comité de Evaluación a que se refiere el artículo 28 de la Constitución.</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t>SÉPTIMO.</w:t>
            </w:r>
            <w:r w:rsidRPr="00D73854">
              <w:rPr>
                <w:rFonts w:eastAsia="Times New Roman" w:cs="Arial"/>
                <w:sz w:val="18"/>
                <w:szCs w:val="18"/>
                <w:lang w:eastAsia="es-MX"/>
              </w:rPr>
              <w:t> </w:t>
            </w:r>
            <w:r w:rsidRPr="00BD0A8D">
              <w:rPr>
                <w:rFonts w:eastAsia="Times New Roman" w:cs="Arial"/>
                <w:sz w:val="18"/>
                <w:szCs w:val="18"/>
                <w:lang w:eastAsia="es-MX"/>
              </w:rPr>
              <w:t>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 xml:space="preserve">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w:t>
            </w:r>
            <w:proofErr w:type="spellStart"/>
            <w:r w:rsidRPr="00BD0A8D">
              <w:rPr>
                <w:rFonts w:eastAsia="Times New Roman" w:cs="Arial"/>
                <w:sz w:val="18"/>
                <w:szCs w:val="18"/>
                <w:lang w:eastAsia="es-MX"/>
              </w:rPr>
              <w:t>entérminos</w:t>
            </w:r>
            <w:proofErr w:type="spellEnd"/>
            <w:r w:rsidRPr="00BD0A8D">
              <w:rPr>
                <w:rFonts w:eastAsia="Times New Roman" w:cs="Arial"/>
                <w:sz w:val="18"/>
                <w:szCs w:val="18"/>
                <w:lang w:eastAsia="es-MX"/>
              </w:rPr>
              <w:t xml:space="preserve"> de lo dispuesto por el presente Decreto mediante juicio de amparo indirecto.</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Asimismo, los juicios y recursos en trámite, continuarán hasta su conclusión conforme a la legislación vigente a la entrada en vigor del presente Decreto.</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t>OCTAVO.</w:t>
            </w:r>
            <w:r w:rsidRPr="00D73854">
              <w:rPr>
                <w:rFonts w:eastAsia="Times New Roman" w:cs="Arial"/>
                <w:sz w:val="18"/>
                <w:szCs w:val="18"/>
                <w:lang w:eastAsia="es-MX"/>
              </w:rPr>
              <w:t> </w:t>
            </w:r>
            <w:r w:rsidRPr="00BD0A8D">
              <w:rPr>
                <w:rFonts w:eastAsia="Times New Roman" w:cs="Arial"/>
                <w:sz w:val="18"/>
                <w:szCs w:val="18"/>
                <w:lang w:eastAsia="es-MX"/>
              </w:rPr>
              <w:t>Una vez constituido el Instituto Federal de Telecomunicaciones conforme a lo dispuesto en el artículo Sexto Transitorio, deberá observarse lo siguiente:</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 xml:space="preserve">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w:t>
            </w:r>
            <w:r w:rsidRPr="00BD0A8D">
              <w:rPr>
                <w:rFonts w:eastAsia="Times New Roman" w:cs="Arial"/>
                <w:sz w:val="18"/>
                <w:szCs w:val="18"/>
                <w:lang w:eastAsia="es-MX"/>
              </w:rPr>
              <w:lastRenderedPageBreak/>
              <w:t>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 xml:space="preserve">II.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w:t>
            </w:r>
            <w:proofErr w:type="spellStart"/>
            <w:r w:rsidRPr="00BD0A8D">
              <w:rPr>
                <w:rFonts w:eastAsia="Times New Roman" w:cs="Arial"/>
                <w:sz w:val="18"/>
                <w:szCs w:val="18"/>
                <w:lang w:eastAsia="es-MX"/>
              </w:rPr>
              <w:t>servicios,derecho</w:t>
            </w:r>
            <w:proofErr w:type="spellEnd"/>
            <w:r w:rsidRPr="00BD0A8D">
              <w:rPr>
                <w:rFonts w:eastAsia="Times New Roman" w:cs="Arial"/>
                <w:sz w:val="18"/>
                <w:szCs w:val="18"/>
                <w:lang w:eastAsia="es-MX"/>
              </w:rPr>
              <w:t xml:space="preserve">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III.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 xml:space="preserve">Las obligaciones impuestas al agente económico preponderante se extinguirán en sus efectos por </w:t>
            </w:r>
            <w:r w:rsidRPr="00BD0A8D">
              <w:rPr>
                <w:rFonts w:eastAsia="Times New Roman" w:cs="Arial"/>
                <w:sz w:val="18"/>
                <w:szCs w:val="18"/>
                <w:lang w:eastAsia="es-MX"/>
              </w:rPr>
              <w:lastRenderedPageBreak/>
              <w:t>declaratoria del Instituto Federal de Telecomunicaciones una vez que conforme a la ley existan condiciones de competencia efectiva en el mercado de que se trate.</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 xml:space="preserve">IV. El Instituto Federal de Telecomunicaciones, en un plazo no mayor a ciento ochenta días naturales contados a partir de su integración, establecerá las medidas que permitan la desagregación efectiva de la red local del agente preponderante en telecomunicaciones de manera </w:t>
            </w:r>
            <w:proofErr w:type="spellStart"/>
            <w:r w:rsidRPr="00BD0A8D">
              <w:rPr>
                <w:rFonts w:eastAsia="Times New Roman" w:cs="Arial"/>
                <w:sz w:val="18"/>
                <w:szCs w:val="18"/>
                <w:lang w:eastAsia="es-MX"/>
              </w:rPr>
              <w:t>queotros</w:t>
            </w:r>
            <w:proofErr w:type="spellEnd"/>
            <w:r w:rsidRPr="00BD0A8D">
              <w:rPr>
                <w:rFonts w:eastAsia="Times New Roman" w:cs="Arial"/>
                <w:sz w:val="18"/>
                <w:szCs w:val="18"/>
                <w:lang w:eastAsia="es-MX"/>
              </w:rPr>
              <w:t xml:space="preserve">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V. El Instituto Federal de Telecomunicaciones revisará, dentro de los ciento ochenta días naturales siguientes a su integración, los títulos de concesión vigentes, a efecto de verificar el cumplimiento de sus términos, condiciones y modalidades.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VI. En un plazo de ciento ochenta días naturales siguientes a su integración, el Instituto Federal de Telecomunicaciones recabará la información necesaria a fin de constituir el Registro Público de Concesiones a que se refiere el artículo 28 de la Constitución.</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t>NOVENO.</w:t>
            </w:r>
            <w:r w:rsidRPr="00D73854">
              <w:rPr>
                <w:rFonts w:eastAsia="Times New Roman" w:cs="Arial"/>
                <w:sz w:val="18"/>
                <w:szCs w:val="18"/>
                <w:lang w:eastAsia="es-MX"/>
              </w:rPr>
              <w:t> </w:t>
            </w:r>
            <w:r w:rsidRPr="00BD0A8D">
              <w:rPr>
                <w:rFonts w:eastAsia="Times New Roman" w:cs="Arial"/>
                <w:sz w:val="18"/>
                <w:szCs w:val="18"/>
                <w:lang w:eastAsia="es-MX"/>
              </w:rPr>
              <w:t>En relación con las resoluciones a que se refieren las fracciones III y IV del artículo anterior, se estará a lo siguiente:</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 Se pronunciarán de conformidad con el procedimiento que establezca la legislación vigente en la fecha de su emisión y a falta de disposición expresa, conforme a la Ley Federal de Procedimiento Administrativo;</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 xml:space="preserve">II. Únicamente podrán ser impugnadas mediante el juicio de amparo indirecto y no serán objeto de suspensión, tal y como lo establece el artículo 28 de la Constitución, reformado en virtud del presente Decreto. Las normas generales aplicadas durante el procedimiento y los actos </w:t>
            </w:r>
            <w:proofErr w:type="spellStart"/>
            <w:r w:rsidRPr="00BD0A8D">
              <w:rPr>
                <w:rFonts w:eastAsia="Times New Roman" w:cs="Arial"/>
                <w:sz w:val="18"/>
                <w:szCs w:val="18"/>
                <w:lang w:eastAsia="es-MX"/>
              </w:rPr>
              <w:t>intraprocesales</w:t>
            </w:r>
            <w:proofErr w:type="spellEnd"/>
            <w:r w:rsidRPr="00BD0A8D">
              <w:rPr>
                <w:rFonts w:eastAsia="Times New Roman" w:cs="Arial"/>
                <w:sz w:val="18"/>
                <w:szCs w:val="18"/>
                <w:lang w:eastAsia="es-MX"/>
              </w:rPr>
              <w:t xml:space="preserve"> sólo podrán reclamarse en el amparo promovido contra la resolución referida, y</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III. No admitirán recurso administrativo alguno y solamente podrán ser impugnadas a través del juicio de amparo indirecto en los términos de la fracción anterior.</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t>DÉCIMO.</w:t>
            </w:r>
            <w:r w:rsidRPr="00D73854">
              <w:rPr>
                <w:rFonts w:eastAsia="Times New Roman" w:cs="Arial"/>
                <w:sz w:val="18"/>
                <w:szCs w:val="18"/>
                <w:lang w:eastAsia="es-MX"/>
              </w:rPr>
              <w:t> </w:t>
            </w:r>
            <w:r w:rsidRPr="00BD0A8D">
              <w:rPr>
                <w:rFonts w:eastAsia="Times New Roman" w:cs="Arial"/>
                <w:sz w:val="18"/>
                <w:szCs w:val="18"/>
                <w:lang w:eastAsia="es-MX"/>
              </w:rPr>
              <w:t xml:space="preserve">Los medios públicos que presten el servicio de radiodifusión deberán contar con independencia </w:t>
            </w:r>
            <w:r w:rsidRPr="00BD0A8D">
              <w:rPr>
                <w:rFonts w:eastAsia="Times New Roman" w:cs="Arial"/>
                <w:sz w:val="18"/>
                <w:szCs w:val="18"/>
                <w:lang w:eastAsia="es-MX"/>
              </w:rPr>
              <w:lastRenderedPageBreak/>
              <w:t>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t>DÉCIMO PRIMERO.</w:t>
            </w:r>
            <w:r w:rsidRPr="00D73854">
              <w:rPr>
                <w:rFonts w:eastAsia="Times New Roman" w:cs="Arial"/>
                <w:sz w:val="18"/>
                <w:szCs w:val="18"/>
                <w:lang w:eastAsia="es-MX"/>
              </w:rPr>
              <w:t> </w:t>
            </w:r>
            <w:r w:rsidRPr="00BD0A8D">
              <w:rPr>
                <w:rFonts w:eastAsia="Times New Roman" w:cs="Arial"/>
                <w:sz w:val="18"/>
                <w:szCs w:val="18"/>
                <w:lang w:eastAsia="es-MX"/>
              </w:rPr>
              <w:t>Para que la publicidad en radio y televisión sea equilibrada, la ley dotará al Instituto Federal de Telecomunicaciones de atribuciones para vigilar el cumplimiento de los tiempos máximos que la misma señale para la transmisión de mensajes comerciales.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Asimismo, corresponderá al Instituto resolver cualquier desacuerdo en materia de retransmisión de contenidos, con excepción de la materia electoral.</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t>DÉCIMO SEGUNDO.</w:t>
            </w:r>
            <w:r w:rsidRPr="00D73854">
              <w:rPr>
                <w:rFonts w:eastAsia="Times New Roman" w:cs="Arial"/>
                <w:sz w:val="18"/>
                <w:szCs w:val="18"/>
                <w:lang w:eastAsia="es-MX"/>
              </w:rPr>
              <w:t> </w:t>
            </w:r>
            <w:r w:rsidRPr="00BD0A8D">
              <w:rPr>
                <w:rFonts w:eastAsia="Times New Roman" w:cs="Arial"/>
                <w:sz w:val="18"/>
                <w:szCs w:val="18"/>
                <w:lang w:eastAsia="es-MX"/>
              </w:rPr>
              <w:t>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 de los juzgados y tribunales a que se refiere el párrafo anterior.</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t>DÉCIMO TERCERO.</w:t>
            </w:r>
            <w:r w:rsidRPr="00D73854">
              <w:rPr>
                <w:rFonts w:eastAsia="Times New Roman" w:cs="Arial"/>
                <w:sz w:val="18"/>
                <w:szCs w:val="18"/>
                <w:lang w:eastAsia="es-MX"/>
              </w:rPr>
              <w:t> </w:t>
            </w:r>
            <w:r w:rsidRPr="00BD0A8D">
              <w:rPr>
                <w:rFonts w:eastAsia="Times New Roman" w:cs="Arial"/>
                <w:sz w:val="18"/>
                <w:szCs w:val="18"/>
                <w:lang w:eastAsia="es-MX"/>
              </w:rPr>
              <w:t>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t>DÉCIMO CUARTO.</w:t>
            </w:r>
            <w:r w:rsidRPr="00D73854">
              <w:rPr>
                <w:rFonts w:eastAsia="Times New Roman" w:cs="Arial"/>
                <w:sz w:val="18"/>
                <w:szCs w:val="18"/>
                <w:lang w:eastAsia="es-MX"/>
              </w:rPr>
              <w:t> </w:t>
            </w:r>
            <w:r w:rsidRPr="00BD0A8D">
              <w:rPr>
                <w:rFonts w:eastAsia="Times New Roman" w:cs="Arial"/>
                <w:sz w:val="18"/>
                <w:szCs w:val="18"/>
                <w:lang w:eastAsia="es-MX"/>
              </w:rPr>
              <w:t xml:space="preserve">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w:t>
            </w:r>
            <w:proofErr w:type="spellStart"/>
            <w:r w:rsidRPr="00BD0A8D">
              <w:rPr>
                <w:rFonts w:eastAsia="Times New Roman" w:cs="Arial"/>
                <w:sz w:val="18"/>
                <w:szCs w:val="18"/>
                <w:lang w:eastAsia="es-MX"/>
              </w:rPr>
              <w:t>telesalud</w:t>
            </w:r>
            <w:proofErr w:type="spellEnd"/>
            <w:r w:rsidRPr="00BD0A8D">
              <w:rPr>
                <w:rFonts w:eastAsia="Times New Roman" w:cs="Arial"/>
                <w:sz w:val="18"/>
                <w:szCs w:val="18"/>
                <w:lang w:eastAsia="es-MX"/>
              </w:rPr>
              <w:t>, telemedicina y Expediente Clínico Electrónico y desarrollo de aplicaciones, sistemas y contenidos digitales, entre otros aspectos.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lastRenderedPageBreak/>
              <w:t>El Instituto Federal de Telecomunicaciones deberá realizar las acciones necesarias para contribuir con los objetivos de la política de inclusión digital universal.</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t>DÉCIMO QUINTO.</w:t>
            </w:r>
            <w:r w:rsidRPr="00D73854">
              <w:rPr>
                <w:rFonts w:eastAsia="Times New Roman" w:cs="Arial"/>
                <w:sz w:val="18"/>
                <w:szCs w:val="18"/>
                <w:lang w:eastAsia="es-MX"/>
              </w:rPr>
              <w:t> </w:t>
            </w:r>
            <w:r w:rsidRPr="00BD0A8D">
              <w:rPr>
                <w:rFonts w:eastAsia="Times New Roman" w:cs="Arial"/>
                <w:sz w:val="18"/>
                <w:szCs w:val="18"/>
                <w:lang w:eastAsia="es-MX"/>
              </w:rPr>
              <w:t xml:space="preserve">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w:t>
            </w:r>
            <w:proofErr w:type="spellStart"/>
            <w:r w:rsidRPr="00BD0A8D">
              <w:rPr>
                <w:rFonts w:eastAsia="Times New Roman" w:cs="Arial"/>
                <w:sz w:val="18"/>
                <w:szCs w:val="18"/>
                <w:lang w:eastAsia="es-MX"/>
              </w:rPr>
              <w:t>postería</w:t>
            </w:r>
            <w:proofErr w:type="spellEnd"/>
            <w:r w:rsidRPr="00BD0A8D">
              <w:rPr>
                <w:rFonts w:eastAsia="Times New Roman" w:cs="Arial"/>
                <w:sz w:val="18"/>
                <w:szCs w:val="18"/>
                <w:lang w:eastAsia="es-MX"/>
              </w:rPr>
              <w:t>,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t xml:space="preserve">DÉCIMO </w:t>
            </w:r>
            <w:proofErr w:type="spellStart"/>
            <w:r w:rsidRPr="00D73854">
              <w:rPr>
                <w:rFonts w:eastAsia="Times New Roman" w:cs="Arial"/>
                <w:b/>
                <w:bCs/>
                <w:sz w:val="18"/>
                <w:szCs w:val="18"/>
                <w:lang w:eastAsia="es-MX"/>
              </w:rPr>
              <w:t>SEXTO.</w:t>
            </w:r>
            <w:r w:rsidRPr="00BD0A8D">
              <w:rPr>
                <w:rFonts w:eastAsia="Times New Roman" w:cs="Arial"/>
                <w:sz w:val="18"/>
                <w:szCs w:val="18"/>
                <w:lang w:eastAsia="es-MX"/>
              </w:rPr>
              <w:t>El</w:t>
            </w:r>
            <w:proofErr w:type="spellEnd"/>
            <w:r w:rsidRPr="00BD0A8D">
              <w:rPr>
                <w:rFonts w:eastAsia="Times New Roman" w:cs="Arial"/>
                <w:sz w:val="18"/>
                <w:szCs w:val="18"/>
                <w:lang w:eastAsia="es-MX"/>
              </w:rPr>
              <w:t xml:space="preserve">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 del presente Decreto y las características siguientes: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 Iniciará la instalación antes de que concluya el año 2014, y estará en operación antes de que concluya el año 2018;</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II.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III. Podrá contemplar inversión pública o privada, identificando las necesidades presupuestales y, en su caso, las previsiones que deba aprobar la Cámara de Diputados;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IV. Asegurará que ningún prestador de servicios de telecomunicaciones tenga influencia en la operación de la red;</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V. Asegurará el acceso a los activos requeridos para la instalación y operación de la red, así como el cumplimiento de su objeto y obligaciones de cobertura, calidad y prestación no discriminatoria de servicios;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 xml:space="preserve">VI. Operará bajo principios de compartición de toda su infraestructura y la venta desagregada de todos sus servicios y capacidades, y prestará exclusivamente servicios a las empresas comercializadoras y </w:t>
            </w:r>
            <w:r w:rsidRPr="00BD0A8D">
              <w:rPr>
                <w:rFonts w:eastAsia="Times New Roman" w:cs="Arial"/>
                <w:sz w:val="18"/>
                <w:szCs w:val="18"/>
                <w:lang w:eastAsia="es-MX"/>
              </w:rPr>
              <w:lastRenderedPageBreak/>
              <w:t>operadoras de redes de telecomunicaciones, bajo condiciones de no discriminación y a precios competitivos. Los operadores que hagan uso de dicha compartición y venta desagregada se obligarán a ofrecer a los demás operadores y comercializadores las mismas condiciones que reciban de la red compartida, y</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VII. Promoverá que la política tarifaria de la red compartida fomente la competencia y que asegure la reinversión de utilidades para la actualización, el crecimiento y la cobertura universal.</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El Ejecutivo Federal, en el marco del Sistema Nacional de Planeación Democrática, incluirá en los instrumentos programáticos respectivos, las acciones necesarias para el desarrollo de la red a que se refiere este artículo.</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t>DÉCIMO SÉPTIMO.</w:t>
            </w:r>
            <w:r w:rsidRPr="00D73854">
              <w:rPr>
                <w:rFonts w:eastAsia="Times New Roman" w:cs="Arial"/>
                <w:sz w:val="18"/>
                <w:szCs w:val="18"/>
                <w:lang w:eastAsia="es-MX"/>
              </w:rPr>
              <w:t> </w:t>
            </w:r>
            <w:r w:rsidRPr="00BD0A8D">
              <w:rPr>
                <w:rFonts w:eastAsia="Times New Roman" w:cs="Arial"/>
                <w:sz w:val="18"/>
                <w:szCs w:val="18"/>
                <w:lang w:eastAsia="es-MX"/>
              </w:rPr>
              <w:t>En el marco del Sistema Nacional de Planeación Democrática, el Ejecutivo Federal incluirá en el Plan Nacional de Desarrollo y en los programas sectoriales, institucionales y especiales conducentes las siguientes acciones: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 El crecimiento de la red troncal prevista en el artículo Décimo Sexto Transitorio de este Decreto, ya sea mediante inversión pública, privada o mixta, para asegurar la máxima cobertura de servicios a la población;</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II. Un programa de banda ancha en sitios públicos que identifique el número de sitios a conectar cada año, hasta alcanzar la cobertura universal;</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 xml:space="preserve">III. Un estudio pormenorizado que identifique el mayor número posible de sitios públicos federales, ductos, </w:t>
            </w:r>
            <w:proofErr w:type="spellStart"/>
            <w:r w:rsidRPr="00BD0A8D">
              <w:rPr>
                <w:rFonts w:eastAsia="Times New Roman" w:cs="Arial"/>
                <w:sz w:val="18"/>
                <w:szCs w:val="18"/>
                <w:lang w:eastAsia="es-MX"/>
              </w:rPr>
              <w:t>postería</w:t>
            </w:r>
            <w:proofErr w:type="spellEnd"/>
            <w:r w:rsidRPr="00BD0A8D">
              <w:rPr>
                <w:rFonts w:eastAsia="Times New Roman" w:cs="Arial"/>
                <w:sz w:val="18"/>
                <w:szCs w:val="18"/>
                <w:lang w:eastAsia="es-MX"/>
              </w:rPr>
              <w:t xml:space="preserve">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IV. Un programa de trabajo para dar cabal cumplimiento a la política para la transición a la Televisión Digital Terrestre y los recursos presupuestales necesarios para ello, y</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V. Un Programa Nacional de Espectro Radioeléctrico que, de manera enunciativa y no limitativa, incluirá lo siguiente:</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a) Un programa de trabajo para garantizar el uso óptimo de las bandas 700 MHz y 2.5 GHz bajo principios de acceso universal, no discriminatorio, compartido y continuo, y</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b) Un programa de trabajo para reorganizar el espectro radioeléctrico a estaciones de radio y televisión.</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BD0A8D">
              <w:rPr>
                <w:rFonts w:eastAsia="Times New Roman" w:cs="Arial"/>
                <w:sz w:val="18"/>
                <w:szCs w:val="18"/>
                <w:lang w:eastAsia="es-MX"/>
              </w:rP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rsidR="00BD0A8D" w:rsidRPr="00BD0A8D" w:rsidRDefault="00BD0A8D" w:rsidP="00BD0A8D">
            <w:pPr>
              <w:spacing w:before="100" w:beforeAutospacing="1" w:after="100" w:afterAutospacing="1" w:line="281" w:lineRule="atLeast"/>
              <w:rPr>
                <w:rFonts w:eastAsia="Times New Roman" w:cs="Arial"/>
                <w:sz w:val="18"/>
                <w:szCs w:val="18"/>
                <w:lang w:eastAsia="es-MX"/>
              </w:rPr>
            </w:pPr>
            <w:r w:rsidRPr="00D73854">
              <w:rPr>
                <w:rFonts w:eastAsia="Times New Roman" w:cs="Arial"/>
                <w:b/>
                <w:bCs/>
                <w:sz w:val="18"/>
                <w:szCs w:val="18"/>
                <w:lang w:eastAsia="es-MX"/>
              </w:rPr>
              <w:lastRenderedPageBreak/>
              <w:t>DÉCIMO OCTAVO. </w:t>
            </w:r>
            <w:r w:rsidRPr="00BD0A8D">
              <w:rPr>
                <w:rFonts w:eastAsia="Times New Roman" w:cs="Arial"/>
                <w:sz w:val="18"/>
                <w:szCs w:val="18"/>
                <w:lang w:eastAsia="es-MX"/>
              </w:rPr>
              <w:t>Los derechos laborales de los trabajadores que presten sus servicios en las empresas y organismos dedicados a las actividades que comprende el presente Decreto se respetarán en todo momento de conformidad con la ley.</w:t>
            </w:r>
          </w:p>
        </w:tc>
      </w:tr>
      <w:bookmarkEnd w:id="0"/>
    </w:tbl>
    <w:p w:rsidR="008068BD" w:rsidRPr="00D73854" w:rsidRDefault="00D73854" w:rsidP="00AB70E2">
      <w:pPr>
        <w:spacing w:after="0" w:line="240" w:lineRule="auto"/>
        <w:rPr>
          <w:rFonts w:eastAsia="Times New Roman" w:cs="Arial"/>
          <w:sz w:val="20"/>
          <w:szCs w:val="20"/>
          <w:lang w:eastAsia="es-MX"/>
        </w:rPr>
      </w:pPr>
    </w:p>
    <w:sectPr w:rsidR="008068BD" w:rsidRPr="00D738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E2"/>
    <w:rsid w:val="00AB70E2"/>
    <w:rsid w:val="00B4687E"/>
    <w:rsid w:val="00B76690"/>
    <w:rsid w:val="00BD0A8D"/>
    <w:rsid w:val="00D73854"/>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D0A8D"/>
    <w:rPr>
      <w:b/>
      <w:bCs/>
    </w:rPr>
  </w:style>
  <w:style w:type="paragraph" w:styleId="NormalWeb">
    <w:name w:val="Normal (Web)"/>
    <w:basedOn w:val="Normal"/>
    <w:uiPriority w:val="99"/>
    <w:unhideWhenUsed/>
    <w:rsid w:val="00BD0A8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D0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D0A8D"/>
    <w:rPr>
      <w:b/>
      <w:bCs/>
    </w:rPr>
  </w:style>
  <w:style w:type="paragraph" w:styleId="NormalWeb">
    <w:name w:val="Normal (Web)"/>
    <w:basedOn w:val="Normal"/>
    <w:uiPriority w:val="99"/>
    <w:unhideWhenUsed/>
    <w:rsid w:val="00BD0A8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D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72206">
      <w:bodyDiv w:val="1"/>
      <w:marLeft w:val="0"/>
      <w:marRight w:val="0"/>
      <w:marTop w:val="0"/>
      <w:marBottom w:val="0"/>
      <w:divBdr>
        <w:top w:val="none" w:sz="0" w:space="0" w:color="auto"/>
        <w:left w:val="none" w:sz="0" w:space="0" w:color="auto"/>
        <w:bottom w:val="none" w:sz="0" w:space="0" w:color="auto"/>
        <w:right w:val="none" w:sz="0" w:space="0" w:color="auto"/>
      </w:divBdr>
    </w:div>
    <w:div w:id="387995266">
      <w:bodyDiv w:val="1"/>
      <w:marLeft w:val="0"/>
      <w:marRight w:val="0"/>
      <w:marTop w:val="0"/>
      <w:marBottom w:val="0"/>
      <w:divBdr>
        <w:top w:val="none" w:sz="0" w:space="0" w:color="auto"/>
        <w:left w:val="none" w:sz="0" w:space="0" w:color="auto"/>
        <w:bottom w:val="none" w:sz="0" w:space="0" w:color="auto"/>
        <w:right w:val="none" w:sz="0" w:space="0" w:color="auto"/>
      </w:divBdr>
      <w:divsChild>
        <w:div w:id="360521887">
          <w:marLeft w:val="0"/>
          <w:marRight w:val="0"/>
          <w:marTop w:val="0"/>
          <w:marBottom w:val="0"/>
          <w:divBdr>
            <w:top w:val="none" w:sz="0" w:space="0" w:color="auto"/>
            <w:left w:val="none" w:sz="0" w:space="0" w:color="auto"/>
            <w:bottom w:val="none" w:sz="0" w:space="0" w:color="auto"/>
            <w:right w:val="none" w:sz="0" w:space="0" w:color="auto"/>
          </w:divBdr>
        </w:div>
        <w:div w:id="179585748">
          <w:marLeft w:val="0"/>
          <w:marRight w:val="0"/>
          <w:marTop w:val="0"/>
          <w:marBottom w:val="0"/>
          <w:divBdr>
            <w:top w:val="none" w:sz="0" w:space="0" w:color="auto"/>
            <w:left w:val="none" w:sz="0" w:space="0" w:color="auto"/>
            <w:bottom w:val="none" w:sz="0" w:space="0" w:color="auto"/>
            <w:right w:val="none" w:sz="0" w:space="0" w:color="auto"/>
          </w:divBdr>
          <w:divsChild>
            <w:div w:id="112795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349417">
          <w:marLeft w:val="0"/>
          <w:marRight w:val="0"/>
          <w:marTop w:val="0"/>
          <w:marBottom w:val="0"/>
          <w:divBdr>
            <w:top w:val="none" w:sz="0" w:space="0" w:color="auto"/>
            <w:left w:val="none" w:sz="0" w:space="0" w:color="auto"/>
            <w:bottom w:val="none" w:sz="0" w:space="0" w:color="auto"/>
            <w:right w:val="none" w:sz="0" w:space="0" w:color="auto"/>
          </w:divBdr>
          <w:divsChild>
            <w:div w:id="1407072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4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6865">
          <w:marLeft w:val="0"/>
          <w:marRight w:val="0"/>
          <w:marTop w:val="0"/>
          <w:marBottom w:val="0"/>
          <w:divBdr>
            <w:top w:val="none" w:sz="0" w:space="0" w:color="auto"/>
            <w:left w:val="none" w:sz="0" w:space="0" w:color="auto"/>
            <w:bottom w:val="none" w:sz="0" w:space="0" w:color="auto"/>
            <w:right w:val="none" w:sz="0" w:space="0" w:color="auto"/>
          </w:divBdr>
        </w:div>
      </w:divsChild>
    </w:div>
    <w:div w:id="402488505">
      <w:bodyDiv w:val="1"/>
      <w:marLeft w:val="0"/>
      <w:marRight w:val="0"/>
      <w:marTop w:val="0"/>
      <w:marBottom w:val="0"/>
      <w:divBdr>
        <w:top w:val="none" w:sz="0" w:space="0" w:color="auto"/>
        <w:left w:val="none" w:sz="0" w:space="0" w:color="auto"/>
        <w:bottom w:val="none" w:sz="0" w:space="0" w:color="auto"/>
        <w:right w:val="none" w:sz="0" w:space="0" w:color="auto"/>
      </w:divBdr>
    </w:div>
    <w:div w:id="634913102">
      <w:bodyDiv w:val="1"/>
      <w:marLeft w:val="0"/>
      <w:marRight w:val="0"/>
      <w:marTop w:val="0"/>
      <w:marBottom w:val="0"/>
      <w:divBdr>
        <w:top w:val="none" w:sz="0" w:space="0" w:color="auto"/>
        <w:left w:val="none" w:sz="0" w:space="0" w:color="auto"/>
        <w:bottom w:val="none" w:sz="0" w:space="0" w:color="auto"/>
        <w:right w:val="none" w:sz="0" w:space="0" w:color="auto"/>
      </w:divBdr>
    </w:div>
    <w:div w:id="13598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19</Pages>
  <Words>7987</Words>
  <Characters>43933</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2013-05-20T14:37:00Z</dcterms:created>
  <dcterms:modified xsi:type="dcterms:W3CDTF">2013-05-20T23:05:00Z</dcterms:modified>
</cp:coreProperties>
</file>