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30" w:rsidRPr="00121D98" w:rsidRDefault="00B25130" w:rsidP="00121D98">
      <w:pPr>
        <w:pStyle w:val="versales"/>
        <w:jc w:val="both"/>
        <w:rPr>
          <w:rFonts w:ascii="Arial" w:hAnsi="Arial" w:cs="Arial"/>
        </w:rPr>
      </w:pPr>
      <w:bookmarkStart w:id="0" w:name="_GoBack"/>
      <w:r w:rsidRPr="00121D98">
        <w:rPr>
          <w:rFonts w:ascii="Arial" w:hAnsi="Arial" w:cs="Arial"/>
        </w:rPr>
        <w:t xml:space="preserve">Que reforma los artículos 20 y 23 de la Ley para regular las Sociedades de Información Crediticia, a cargo del diputado Ricardo Monreal Ávila, del Grupo Parlamentario de Movimiento Ciudadano </w:t>
      </w:r>
    </w:p>
    <w:bookmarkEnd w:id="0"/>
    <w:p w:rsidR="00B25130" w:rsidRPr="00121D98" w:rsidRDefault="00B25130" w:rsidP="00121D98">
      <w:pPr>
        <w:pStyle w:val="NormalWeb"/>
        <w:jc w:val="both"/>
        <w:rPr>
          <w:rFonts w:ascii="Arial" w:hAnsi="Arial" w:cs="Arial"/>
        </w:rPr>
      </w:pPr>
      <w:r w:rsidRPr="00121D98">
        <w:rPr>
          <w:rFonts w:ascii="Arial" w:hAnsi="Arial" w:cs="Arial"/>
        </w:rPr>
        <w:t>Ricardo Monreal Ávila, integrante de la LXII Legislatura del Congreso de la Unión, de conformidad con lo dispuesto en los artículos 71, fracción II; de la Constitución Política de los Estados Unidos Mexicanos; y 6, fracción I, 77 y 78 del Reglamento de la Cámara de Diputados, someto a consideración del pleno, la siguiente iniciativa que contiene proyecto de decreto por el que se reforman y adicionan los artículo 20 y 23 de la Ley para Regular las Sociedades de Información Crediticia, al tenor de la siguiente</w:t>
      </w:r>
    </w:p>
    <w:p w:rsidR="00B25130" w:rsidRPr="00121D98" w:rsidRDefault="00B25130" w:rsidP="00121D98">
      <w:pPr>
        <w:pStyle w:val="centrar"/>
        <w:jc w:val="both"/>
        <w:rPr>
          <w:rFonts w:ascii="Arial" w:hAnsi="Arial" w:cs="Arial"/>
        </w:rPr>
      </w:pPr>
      <w:r w:rsidRPr="00121D98">
        <w:rPr>
          <w:rFonts w:ascii="Arial" w:hAnsi="Arial" w:cs="Arial"/>
        </w:rPr>
        <w:t>Exposición de Motivos</w:t>
      </w:r>
    </w:p>
    <w:p w:rsidR="00B25130" w:rsidRPr="00121D98" w:rsidRDefault="00B25130" w:rsidP="00121D98">
      <w:pPr>
        <w:pStyle w:val="NormalWeb"/>
        <w:jc w:val="both"/>
        <w:rPr>
          <w:rFonts w:ascii="Arial" w:hAnsi="Arial" w:cs="Arial"/>
        </w:rPr>
      </w:pPr>
      <w:r w:rsidRPr="00121D98">
        <w:rPr>
          <w:rFonts w:ascii="Arial" w:hAnsi="Arial" w:cs="Arial"/>
        </w:rPr>
        <w:t>El buró de crédito es una sociedad financiera encargada de proporcionar los servicios de registrar y administrar la información de los manejos crediticios de las personas físicas y morales.</w:t>
      </w:r>
    </w:p>
    <w:p w:rsidR="00B25130" w:rsidRPr="00121D98" w:rsidRDefault="00B25130" w:rsidP="00121D98">
      <w:pPr>
        <w:pStyle w:val="NormalWeb"/>
        <w:jc w:val="both"/>
        <w:rPr>
          <w:rFonts w:ascii="Arial" w:hAnsi="Arial" w:cs="Arial"/>
        </w:rPr>
      </w:pPr>
      <w:r w:rsidRPr="00121D98">
        <w:rPr>
          <w:rFonts w:ascii="Arial" w:hAnsi="Arial" w:cs="Arial"/>
        </w:rPr>
        <w:t xml:space="preserve">Según los datos de la </w:t>
      </w:r>
      <w:proofErr w:type="spellStart"/>
      <w:r w:rsidRPr="00121D98">
        <w:rPr>
          <w:rFonts w:ascii="Arial" w:hAnsi="Arial" w:cs="Arial"/>
        </w:rPr>
        <w:t>Condusef</w:t>
      </w:r>
      <w:proofErr w:type="spellEnd"/>
      <w:r w:rsidRPr="00121D98">
        <w:rPr>
          <w:rFonts w:ascii="Arial" w:hAnsi="Arial" w:cs="Arial"/>
        </w:rPr>
        <w:t xml:space="preserve"> sus antecedentes se remontan a los años de 1964 a 1995 en los cuales el Banco de México realizaba la operación y los registros de la información crediticia. Sin embargo, en 1995 el aumento de los créditos pone a la vista la imperiosa necesidad de recurrir a las Sociedades de Información Crediticia (SIC).</w:t>
      </w:r>
    </w:p>
    <w:p w:rsidR="00B25130" w:rsidRPr="00121D98" w:rsidRDefault="00B25130" w:rsidP="00121D98">
      <w:pPr>
        <w:pStyle w:val="NormalWeb"/>
        <w:jc w:val="both"/>
        <w:rPr>
          <w:rFonts w:ascii="Arial" w:hAnsi="Arial" w:cs="Arial"/>
        </w:rPr>
      </w:pPr>
      <w:r w:rsidRPr="00121D98">
        <w:rPr>
          <w:rFonts w:ascii="Arial" w:hAnsi="Arial" w:cs="Arial"/>
        </w:rPr>
        <w:t xml:space="preserve">Desde 1995 y con la autorización de la Secretaría de Hacienda y Crédito Público, </w:t>
      </w:r>
      <w:proofErr w:type="spellStart"/>
      <w:r w:rsidRPr="00121D98">
        <w:rPr>
          <w:rFonts w:ascii="Arial" w:hAnsi="Arial" w:cs="Arial"/>
        </w:rPr>
        <w:t>Trans</w:t>
      </w:r>
      <w:proofErr w:type="spellEnd"/>
      <w:r w:rsidRPr="00121D98">
        <w:rPr>
          <w:rFonts w:ascii="Arial" w:hAnsi="Arial" w:cs="Arial"/>
        </w:rPr>
        <w:t xml:space="preserve"> </w:t>
      </w:r>
      <w:proofErr w:type="spellStart"/>
      <w:r w:rsidRPr="00121D98">
        <w:rPr>
          <w:rFonts w:ascii="Arial" w:hAnsi="Arial" w:cs="Arial"/>
        </w:rPr>
        <w:t>Union</w:t>
      </w:r>
      <w:proofErr w:type="spellEnd"/>
      <w:r w:rsidRPr="00121D98">
        <w:rPr>
          <w:rFonts w:ascii="Arial" w:hAnsi="Arial" w:cs="Arial"/>
        </w:rPr>
        <w:t xml:space="preserve"> de México, SA, integró el buró para personas físicas; y en 1997, </w:t>
      </w:r>
      <w:proofErr w:type="spellStart"/>
      <w:r w:rsidRPr="00121D98">
        <w:rPr>
          <w:rFonts w:ascii="Arial" w:hAnsi="Arial" w:cs="Arial"/>
        </w:rPr>
        <w:t>Dun</w:t>
      </w:r>
      <w:proofErr w:type="spellEnd"/>
      <w:r w:rsidRPr="00121D98">
        <w:rPr>
          <w:rFonts w:ascii="Arial" w:hAnsi="Arial" w:cs="Arial"/>
        </w:rPr>
        <w:t xml:space="preserve"> &amp; </w:t>
      </w:r>
      <w:proofErr w:type="spellStart"/>
      <w:r w:rsidRPr="00121D98">
        <w:rPr>
          <w:rFonts w:ascii="Arial" w:hAnsi="Arial" w:cs="Arial"/>
        </w:rPr>
        <w:t>Bradstreet</w:t>
      </w:r>
      <w:proofErr w:type="spellEnd"/>
      <w:r w:rsidRPr="00121D98">
        <w:rPr>
          <w:rFonts w:ascii="Arial" w:hAnsi="Arial" w:cs="Arial"/>
        </w:rPr>
        <w:t>, SA, para personas morales.</w:t>
      </w:r>
    </w:p>
    <w:p w:rsidR="00B25130" w:rsidRPr="00121D98" w:rsidRDefault="00B25130" w:rsidP="00121D98">
      <w:pPr>
        <w:pStyle w:val="NormalWeb"/>
        <w:jc w:val="both"/>
        <w:rPr>
          <w:rFonts w:ascii="Arial" w:hAnsi="Arial" w:cs="Arial"/>
        </w:rPr>
      </w:pPr>
      <w:r w:rsidRPr="00121D98">
        <w:rPr>
          <w:rFonts w:ascii="Arial" w:hAnsi="Arial" w:cs="Arial"/>
        </w:rPr>
        <w:t>A pesar de que estas dos empresas son parte del buró de crédito, el mayor porcentaje se los llevan los bancos en México. Y no fue sino hasta 2005 que se conformó el Círculo de Crédito, SA de CV, con accionistas como Grupo Elektra, Coppel, entre otros.</w:t>
      </w:r>
    </w:p>
    <w:p w:rsidR="00B25130" w:rsidRPr="00121D98" w:rsidRDefault="00B25130" w:rsidP="00121D98">
      <w:pPr>
        <w:pStyle w:val="NormalWeb"/>
        <w:jc w:val="both"/>
        <w:rPr>
          <w:rFonts w:ascii="Arial" w:hAnsi="Arial" w:cs="Arial"/>
        </w:rPr>
      </w:pPr>
      <w:r w:rsidRPr="00121D98">
        <w:rPr>
          <w:rFonts w:ascii="Arial" w:hAnsi="Arial" w:cs="Arial"/>
        </w:rPr>
        <w:t>Las autoridades que regulan el buró de crédito son la Secretaría de Hacienda y Crédito Público (SHCP), el Banco de México (Banxico o B de M), la Comisión Nacional Bancaria y de Valores (CNBV), y la Comisión Nacional para la Protección y Defensa a los Usuarios de Servicios Financieros (</w:t>
      </w:r>
      <w:proofErr w:type="spellStart"/>
      <w:r w:rsidRPr="00121D98">
        <w:rPr>
          <w:rFonts w:ascii="Arial" w:hAnsi="Arial" w:cs="Arial"/>
        </w:rPr>
        <w:t>Condusef</w:t>
      </w:r>
      <w:proofErr w:type="spellEnd"/>
      <w:r w:rsidRPr="00121D98">
        <w:rPr>
          <w:rFonts w:ascii="Arial" w:hAnsi="Arial" w:cs="Arial"/>
        </w:rPr>
        <w:t>).</w:t>
      </w:r>
    </w:p>
    <w:p w:rsidR="00B25130" w:rsidRPr="00121D98" w:rsidRDefault="00B25130" w:rsidP="00121D98">
      <w:pPr>
        <w:pStyle w:val="NormalWeb"/>
        <w:jc w:val="both"/>
        <w:rPr>
          <w:rFonts w:ascii="Arial" w:hAnsi="Arial" w:cs="Arial"/>
        </w:rPr>
      </w:pPr>
      <w:r w:rsidRPr="00121D98">
        <w:rPr>
          <w:rFonts w:ascii="Arial" w:hAnsi="Arial" w:cs="Arial"/>
        </w:rPr>
        <w:t xml:space="preserve">El buró de crédito opera desde el momento que una persona física o moral solicita un crédito automotriz, hipotecario, tarjeta de crédito, o el contrato de algún servicio de televisión por paga, o telefonía, ante cualquier empresa comercial o entidad financiera (denominados como usuarios) y el crédito es autorizado. Automáticamente se registra el cliente en el buró de crédito, se almacena en su base de datos y comienza su historial. </w:t>
      </w:r>
    </w:p>
    <w:p w:rsidR="00B25130" w:rsidRPr="00121D98" w:rsidRDefault="00B25130" w:rsidP="00121D98">
      <w:pPr>
        <w:pStyle w:val="NormalWeb"/>
        <w:jc w:val="both"/>
        <w:rPr>
          <w:rFonts w:ascii="Arial" w:hAnsi="Arial" w:cs="Arial"/>
        </w:rPr>
      </w:pPr>
      <w:r w:rsidRPr="00121D98">
        <w:rPr>
          <w:rFonts w:ascii="Arial" w:hAnsi="Arial" w:cs="Arial"/>
        </w:rPr>
        <w:lastRenderedPageBreak/>
        <w:t>Derivado del oportuno o mal manejo del crédito y del cumplimiento en los pagos y las obligaciones, se genera el historial con un carácter positivo o negativo.</w:t>
      </w:r>
    </w:p>
    <w:p w:rsidR="00B25130" w:rsidRPr="00121D98" w:rsidRDefault="00B25130" w:rsidP="00121D98">
      <w:pPr>
        <w:pStyle w:val="NormalWeb"/>
        <w:jc w:val="both"/>
        <w:rPr>
          <w:rFonts w:ascii="Arial" w:hAnsi="Arial" w:cs="Arial"/>
        </w:rPr>
      </w:pPr>
      <w:r w:rsidRPr="00121D98">
        <w:rPr>
          <w:rFonts w:ascii="Arial" w:hAnsi="Arial" w:cs="Arial"/>
        </w:rPr>
        <w:t>Actualmente, la ley contempla que las personas independientemente de la manera como manejan su crédito deben permanecer en los registros del Buró por 72 meses.</w:t>
      </w:r>
    </w:p>
    <w:p w:rsidR="00B25130" w:rsidRPr="00121D98" w:rsidRDefault="00B25130" w:rsidP="00121D98">
      <w:pPr>
        <w:pStyle w:val="NormalWeb"/>
        <w:jc w:val="both"/>
        <w:rPr>
          <w:rFonts w:ascii="Arial" w:hAnsi="Arial" w:cs="Arial"/>
        </w:rPr>
      </w:pPr>
      <w:r w:rsidRPr="00121D98">
        <w:rPr>
          <w:rFonts w:ascii="Arial" w:hAnsi="Arial" w:cs="Arial"/>
        </w:rPr>
        <w:t xml:space="preserve">Es oportuno reconsiderar este supuesto, ya que, existen personas físicas o morales que han hecho un correcto y oportuno cumplimiento en las obligaciones convenidas, por lo que, es necesario se reduzca a estas personas la temporalidad del registro. </w:t>
      </w:r>
    </w:p>
    <w:p w:rsidR="00B25130" w:rsidRPr="00121D98" w:rsidRDefault="00B25130" w:rsidP="00121D98">
      <w:pPr>
        <w:pStyle w:val="NormalWeb"/>
        <w:jc w:val="both"/>
        <w:rPr>
          <w:rFonts w:ascii="Arial" w:hAnsi="Arial" w:cs="Arial"/>
        </w:rPr>
      </w:pPr>
      <w:r w:rsidRPr="00121D98">
        <w:rPr>
          <w:rFonts w:ascii="Arial" w:hAnsi="Arial" w:cs="Arial"/>
        </w:rPr>
        <w:t xml:space="preserve">Las cifras dadas por la Encuesta Nacional a los Clientes del buró de crédito del 2009 señalan que existían 140 millones de créditos, de los cuales 94 por ciento correspondían a las personas físicas y 6 por ciento a las personas morales. </w:t>
      </w:r>
    </w:p>
    <w:p w:rsidR="00B25130" w:rsidRPr="00121D98" w:rsidRDefault="00B25130" w:rsidP="00121D98">
      <w:pPr>
        <w:pStyle w:val="NormalWeb"/>
        <w:jc w:val="both"/>
        <w:rPr>
          <w:rFonts w:ascii="Arial" w:hAnsi="Arial" w:cs="Arial"/>
        </w:rPr>
      </w:pPr>
      <w:r w:rsidRPr="00121D98">
        <w:rPr>
          <w:rFonts w:ascii="Arial" w:hAnsi="Arial" w:cs="Arial"/>
        </w:rPr>
        <w:t>Con respecto al Círculo de Crédito la base de datos indicó que se conformaba de 58.4 millones de créditos, de los cuales 36.3 millones eran de personas físicas. Aunque es necesario aclarar que más de la mitad de las personas que aparecen en el buró se debe a créditos financieros seguidos de los préstamos comerciales.</w:t>
      </w:r>
    </w:p>
    <w:p w:rsidR="00B25130" w:rsidRPr="00121D98" w:rsidRDefault="00B25130" w:rsidP="00121D98">
      <w:pPr>
        <w:pStyle w:val="NormalWeb"/>
        <w:jc w:val="both"/>
        <w:rPr>
          <w:rFonts w:ascii="Arial" w:hAnsi="Arial" w:cs="Arial"/>
        </w:rPr>
      </w:pPr>
      <w:r w:rsidRPr="00121D98">
        <w:rPr>
          <w:rFonts w:ascii="Arial" w:hAnsi="Arial" w:cs="Arial"/>
        </w:rPr>
        <w:t>Aunque se esperaba que en 2011 creciera el crédito bancario en un 14%, las expectativas en el 2010 señalaron un incremento en la cartera vencida, es decir, aumento el nivel de morosidad en los clientes de 2.86% en abril a 2.88% en mayo.</w:t>
      </w:r>
      <w:r w:rsidRPr="00121D98">
        <w:rPr>
          <w:rStyle w:val="superscript"/>
          <w:rFonts w:ascii="Arial" w:hAnsi="Arial" w:cs="Arial"/>
        </w:rPr>
        <w:t>1</w:t>
      </w:r>
    </w:p>
    <w:p w:rsidR="00B25130" w:rsidRPr="00121D98" w:rsidRDefault="00B25130" w:rsidP="00121D98">
      <w:pPr>
        <w:pStyle w:val="NormalWeb"/>
        <w:jc w:val="both"/>
        <w:rPr>
          <w:rFonts w:ascii="Arial" w:hAnsi="Arial" w:cs="Arial"/>
        </w:rPr>
      </w:pPr>
      <w:r w:rsidRPr="00121D98">
        <w:rPr>
          <w:rFonts w:ascii="Arial" w:hAnsi="Arial" w:cs="Arial"/>
        </w:rPr>
        <w:t>No obstante, este hecho se observa desde una óptica esperanzadora porque quiere decir que el crédito creció. Aunque se debe especificar que sólo en lo referente a las tarjetas de crédito.</w:t>
      </w:r>
    </w:p>
    <w:p w:rsidR="00B25130" w:rsidRPr="00121D98" w:rsidRDefault="00B25130" w:rsidP="00121D98">
      <w:pPr>
        <w:pStyle w:val="NormalWeb"/>
        <w:jc w:val="both"/>
        <w:rPr>
          <w:rFonts w:ascii="Arial" w:hAnsi="Arial" w:cs="Arial"/>
        </w:rPr>
      </w:pPr>
      <w:r w:rsidRPr="00121D98">
        <w:rPr>
          <w:rFonts w:ascii="Arial" w:hAnsi="Arial" w:cs="Arial"/>
        </w:rPr>
        <w:t>La reciente crisis económica provocó el desempleo masivo de muchos trabajadores mexicanos, lo que ocasionó la falta de recursos para cumplir con algunas de sus obligaciones en tiempo y forma.</w:t>
      </w:r>
    </w:p>
    <w:p w:rsidR="00B25130" w:rsidRPr="00121D98" w:rsidRDefault="00B25130" w:rsidP="00121D98">
      <w:pPr>
        <w:pStyle w:val="NormalWeb"/>
        <w:jc w:val="both"/>
        <w:rPr>
          <w:rFonts w:ascii="Arial" w:hAnsi="Arial" w:cs="Arial"/>
        </w:rPr>
      </w:pPr>
      <w:r w:rsidRPr="00121D98">
        <w:rPr>
          <w:rFonts w:ascii="Arial" w:hAnsi="Arial" w:cs="Arial"/>
        </w:rPr>
        <w:t>No es justo que los efectos de la crisis del país perjudiquen económica y moralmente al aparecer como morosos en el buró de crédito por 72 meses, cuando estas personas han hecho un esfuerzo para cubrir sus compromisos.</w:t>
      </w:r>
    </w:p>
    <w:p w:rsidR="00B25130" w:rsidRPr="00121D98" w:rsidRDefault="00B25130" w:rsidP="00121D98">
      <w:pPr>
        <w:pStyle w:val="NormalWeb"/>
        <w:jc w:val="both"/>
        <w:rPr>
          <w:rFonts w:ascii="Arial" w:hAnsi="Arial" w:cs="Arial"/>
        </w:rPr>
      </w:pPr>
      <w:r w:rsidRPr="00121D98">
        <w:rPr>
          <w:rFonts w:ascii="Arial" w:hAnsi="Arial" w:cs="Arial"/>
        </w:rPr>
        <w:t>Este plazo lo único que hace es afectar el crecimiento económico y el crediticio, a pesar de lo que dicen las Instituciones Financieras y el Gobierno.</w:t>
      </w:r>
    </w:p>
    <w:p w:rsidR="00B25130" w:rsidRPr="00121D98" w:rsidRDefault="00B25130" w:rsidP="00121D98">
      <w:pPr>
        <w:pStyle w:val="NormalWeb"/>
        <w:jc w:val="both"/>
        <w:rPr>
          <w:rFonts w:ascii="Arial" w:hAnsi="Arial" w:cs="Arial"/>
        </w:rPr>
      </w:pPr>
      <w:r w:rsidRPr="00121D98">
        <w:rPr>
          <w:rFonts w:ascii="Arial" w:hAnsi="Arial" w:cs="Arial"/>
        </w:rPr>
        <w:t>Al permanecer tanto tiempo en el buró, las personas son orilladas a recurrir a prestamistas informales, y a ser objeto de abusos y a perder su patrimonio.</w:t>
      </w:r>
    </w:p>
    <w:p w:rsidR="00B25130" w:rsidRPr="00121D98" w:rsidRDefault="00B25130" w:rsidP="00121D98">
      <w:pPr>
        <w:pStyle w:val="NormalWeb"/>
        <w:jc w:val="both"/>
        <w:rPr>
          <w:rFonts w:ascii="Arial" w:hAnsi="Arial" w:cs="Arial"/>
        </w:rPr>
      </w:pPr>
      <w:r w:rsidRPr="00121D98">
        <w:rPr>
          <w:rFonts w:ascii="Arial" w:hAnsi="Arial" w:cs="Arial"/>
        </w:rPr>
        <w:t xml:space="preserve">Es por lo anterior, que propongo en esta iniciativa la disminución del tiempo que deben guardar los historiales crediticios, las sociedades de información crediticia, </w:t>
      </w:r>
      <w:r w:rsidRPr="00121D98">
        <w:rPr>
          <w:rFonts w:ascii="Arial" w:hAnsi="Arial" w:cs="Arial"/>
        </w:rPr>
        <w:lastRenderedPageBreak/>
        <w:t xml:space="preserve">para el caso de personas que paguen sus adeudos, para así quedar en posibilidad de solicitar créditos de nueva cuenta, y no tener que esperar 6 años para ser sujetos de este tipo de préstamos. </w:t>
      </w:r>
    </w:p>
    <w:p w:rsidR="00B25130" w:rsidRPr="00121D98" w:rsidRDefault="00B25130" w:rsidP="00121D98">
      <w:pPr>
        <w:pStyle w:val="NormalWeb"/>
        <w:jc w:val="both"/>
        <w:rPr>
          <w:rFonts w:ascii="Arial" w:hAnsi="Arial" w:cs="Arial"/>
        </w:rPr>
      </w:pPr>
      <w:r w:rsidRPr="00121D98">
        <w:rPr>
          <w:rFonts w:ascii="Arial" w:hAnsi="Arial" w:cs="Arial"/>
        </w:rPr>
        <w:t>Estamos comprometidos con las personas físicas y morales que cumplen cabalmente con sus obligaciones.</w:t>
      </w:r>
    </w:p>
    <w:p w:rsidR="00B25130" w:rsidRPr="00121D98" w:rsidRDefault="00B25130" w:rsidP="00121D98">
      <w:pPr>
        <w:pStyle w:val="NormalWeb"/>
        <w:jc w:val="both"/>
        <w:rPr>
          <w:rFonts w:ascii="Arial" w:hAnsi="Arial" w:cs="Arial"/>
        </w:rPr>
      </w:pPr>
      <w:r w:rsidRPr="00121D98">
        <w:rPr>
          <w:rFonts w:ascii="Arial" w:hAnsi="Arial" w:cs="Arial"/>
        </w:rPr>
        <w:t>Por lo anterior, someto a la consideración del pleno el siguiente proyecto de</w:t>
      </w:r>
    </w:p>
    <w:p w:rsidR="00B25130" w:rsidRPr="00121D98" w:rsidRDefault="00B25130" w:rsidP="00121D98">
      <w:pPr>
        <w:pStyle w:val="NormalWeb"/>
        <w:jc w:val="both"/>
        <w:rPr>
          <w:rFonts w:ascii="Arial" w:hAnsi="Arial" w:cs="Arial"/>
        </w:rPr>
      </w:pPr>
      <w:r w:rsidRPr="00121D98">
        <w:rPr>
          <w:rStyle w:val="negritas"/>
          <w:rFonts w:ascii="Arial" w:hAnsi="Arial" w:cs="Arial"/>
        </w:rPr>
        <w:t xml:space="preserve">Decreto por el que se reforman y adicionan </w:t>
      </w:r>
      <w:proofErr w:type="gramStart"/>
      <w:r w:rsidRPr="00121D98">
        <w:rPr>
          <w:rStyle w:val="negritas"/>
          <w:rFonts w:ascii="Arial" w:hAnsi="Arial" w:cs="Arial"/>
        </w:rPr>
        <w:t>los</w:t>
      </w:r>
      <w:proofErr w:type="gramEnd"/>
      <w:r w:rsidRPr="00121D98">
        <w:rPr>
          <w:rStyle w:val="negritas"/>
          <w:rFonts w:ascii="Arial" w:hAnsi="Arial" w:cs="Arial"/>
        </w:rPr>
        <w:t xml:space="preserve"> artículo 20 y 23 de la Ley para Regular las Sociedades de Información Crediticia</w:t>
      </w:r>
    </w:p>
    <w:p w:rsidR="00B25130" w:rsidRPr="00121D98" w:rsidRDefault="00B25130" w:rsidP="00121D98">
      <w:pPr>
        <w:pStyle w:val="NormalWeb"/>
        <w:jc w:val="both"/>
        <w:rPr>
          <w:rFonts w:ascii="Arial" w:hAnsi="Arial" w:cs="Arial"/>
        </w:rPr>
      </w:pPr>
      <w:r w:rsidRPr="00121D98">
        <w:rPr>
          <w:rStyle w:val="negritas"/>
          <w:rFonts w:ascii="Arial" w:hAnsi="Arial" w:cs="Arial"/>
        </w:rPr>
        <w:t>Único.</w:t>
      </w:r>
      <w:r w:rsidRPr="00121D98">
        <w:rPr>
          <w:rFonts w:ascii="Arial" w:hAnsi="Arial" w:cs="Arial"/>
        </w:rPr>
        <w:t xml:space="preserve"> Se reforman y adicionan los artículos 20 y 23 de la Ley Para Regular las Sociedades de Información Crediticia, para quedar como sigue:</w:t>
      </w:r>
    </w:p>
    <w:p w:rsidR="00B25130" w:rsidRPr="00121D98" w:rsidRDefault="00B25130" w:rsidP="00121D98">
      <w:pPr>
        <w:pStyle w:val="NormalWeb"/>
        <w:jc w:val="both"/>
        <w:rPr>
          <w:rFonts w:ascii="Arial" w:hAnsi="Arial" w:cs="Arial"/>
        </w:rPr>
      </w:pPr>
      <w:r w:rsidRPr="00121D98">
        <w:rPr>
          <w:rStyle w:val="negritas"/>
          <w:rFonts w:ascii="Arial" w:hAnsi="Arial" w:cs="Arial"/>
        </w:rPr>
        <w:t>Artículo 20.</w:t>
      </w:r>
      <w:r w:rsidRPr="00121D98">
        <w:rPr>
          <w:rFonts w:ascii="Arial" w:hAnsi="Arial" w:cs="Arial"/>
        </w:rPr>
        <w:t xml:space="preserve"> La base de datos de las Sociedades se integrará con la información sobre operaciones crediticias y otras de naturaleza análoga que le sea proporcionada por los Usuarios. Los Usuarios que entreguen dicha información a las Sociedades deberán hacerlo de manera completa y veraz; asimismo, estarán obligados a señalar expresamente la fecha de origen de los créditos que inscriban y la fecha del primer incumplimiento. Las Sociedades no deberán inscribir por ningún motivo, créditos cuya fecha de origen no sea especificado por los Usuarios, o cuando éste tenga una antigüedad en cartera vencida mayor a 72 meses.</w:t>
      </w:r>
      <w:r w:rsidRPr="00121D98">
        <w:rPr>
          <w:rStyle w:val="negritas"/>
          <w:rFonts w:ascii="Arial" w:hAnsi="Arial" w:cs="Arial"/>
        </w:rPr>
        <w:t xml:space="preserve"> En el caso de aquellas personas físicas y morales con historiales crediticios que reflejen el cumplimiento de la obligación la temporalidad máxima que se conservarán será de doce </w:t>
      </w:r>
      <w:proofErr w:type="gramStart"/>
      <w:r w:rsidRPr="00121D98">
        <w:rPr>
          <w:rStyle w:val="negritas"/>
          <w:rFonts w:ascii="Arial" w:hAnsi="Arial" w:cs="Arial"/>
        </w:rPr>
        <w:t>meses</w:t>
      </w:r>
      <w:r w:rsidRPr="00121D98">
        <w:rPr>
          <w:rFonts w:ascii="Arial" w:hAnsi="Arial" w:cs="Arial"/>
        </w:rPr>
        <w:t xml:space="preserve"> .</w:t>
      </w:r>
      <w:proofErr w:type="gramEnd"/>
      <w:r w:rsidRPr="00121D98">
        <w:rPr>
          <w:rFonts w:ascii="Arial" w:hAnsi="Arial" w:cs="Arial"/>
        </w:rPr>
        <w:t xml:space="preserve"> Lo anterior, de conformidad con lo establecido en los artículos 23 y 24 de esta ley.</w:t>
      </w:r>
    </w:p>
    <w:p w:rsidR="00B25130" w:rsidRPr="00121D98" w:rsidRDefault="00B25130" w:rsidP="00121D98">
      <w:pPr>
        <w:pStyle w:val="NormalWeb"/>
        <w:jc w:val="both"/>
        <w:rPr>
          <w:rFonts w:ascii="Arial" w:hAnsi="Arial" w:cs="Arial"/>
        </w:rPr>
      </w:pPr>
      <w:r w:rsidRPr="00121D98">
        <w:rPr>
          <w:rFonts w:ascii="Arial" w:hAnsi="Arial" w:cs="Arial"/>
        </w:rPr>
        <w:t>(...)</w:t>
      </w:r>
    </w:p>
    <w:p w:rsidR="00B25130" w:rsidRPr="00121D98" w:rsidRDefault="00B25130" w:rsidP="00121D98">
      <w:pPr>
        <w:pStyle w:val="NormalWeb"/>
        <w:jc w:val="both"/>
        <w:rPr>
          <w:rFonts w:ascii="Arial" w:hAnsi="Arial" w:cs="Arial"/>
        </w:rPr>
      </w:pPr>
      <w:r w:rsidRPr="00121D98">
        <w:rPr>
          <w:rStyle w:val="negritas"/>
          <w:rFonts w:ascii="Arial" w:hAnsi="Arial" w:cs="Arial"/>
        </w:rPr>
        <w:t>Artículo 23.</w:t>
      </w:r>
      <w:r w:rsidRPr="00121D98">
        <w:rPr>
          <w:rFonts w:ascii="Arial" w:hAnsi="Arial" w:cs="Arial"/>
        </w:rPr>
        <w:t xml:space="preserve"> La Sociedades están obligadas a conservar los historiales crediticios que les sean proporcionados por los Usuarios, correspondientes a cualquier persona física o moral, al menos durante un plazo de</w:t>
      </w:r>
      <w:r w:rsidRPr="00121D98">
        <w:rPr>
          <w:rStyle w:val="negritas"/>
          <w:rFonts w:ascii="Arial" w:hAnsi="Arial" w:cs="Arial"/>
        </w:rPr>
        <w:t xml:space="preserve"> doce meses desde el cumplimiento de la obligación.</w:t>
      </w:r>
    </w:p>
    <w:p w:rsidR="00B25130" w:rsidRPr="00121D98" w:rsidRDefault="00B25130" w:rsidP="00121D98">
      <w:pPr>
        <w:pStyle w:val="NormalWeb"/>
        <w:jc w:val="both"/>
        <w:rPr>
          <w:rFonts w:ascii="Arial" w:hAnsi="Arial" w:cs="Arial"/>
        </w:rPr>
      </w:pPr>
      <w:r w:rsidRPr="00121D98">
        <w:rPr>
          <w:rFonts w:ascii="Arial" w:hAnsi="Arial" w:cs="Arial"/>
        </w:rPr>
        <w:t xml:space="preserve">Las Sociedades </w:t>
      </w:r>
      <w:r w:rsidRPr="00121D98">
        <w:rPr>
          <w:rStyle w:val="negritas"/>
          <w:rFonts w:ascii="Arial" w:hAnsi="Arial" w:cs="Arial"/>
        </w:rPr>
        <w:t>deberán</w:t>
      </w:r>
      <w:r w:rsidRPr="00121D98">
        <w:rPr>
          <w:rFonts w:ascii="Arial" w:hAnsi="Arial" w:cs="Arial"/>
        </w:rPr>
        <w:t xml:space="preserve"> eliminar del historial crediticio del Cliente aquella información que refleje el cumplimiento de cualquier obligación, después de </w:t>
      </w:r>
      <w:r w:rsidRPr="00121D98">
        <w:rPr>
          <w:rStyle w:val="negritas"/>
          <w:rFonts w:ascii="Arial" w:hAnsi="Arial" w:cs="Arial"/>
        </w:rPr>
        <w:t>doce meses</w:t>
      </w:r>
      <w:r w:rsidRPr="00121D98">
        <w:rPr>
          <w:rFonts w:ascii="Arial" w:hAnsi="Arial" w:cs="Arial"/>
        </w:rPr>
        <w:t xml:space="preserve"> de haberse incorporado tal cumplimiento en dicho historial.</w:t>
      </w:r>
    </w:p>
    <w:p w:rsidR="00B25130" w:rsidRPr="00121D98" w:rsidRDefault="00B25130" w:rsidP="00121D98">
      <w:pPr>
        <w:pStyle w:val="NormalWeb"/>
        <w:jc w:val="both"/>
        <w:rPr>
          <w:rFonts w:ascii="Arial" w:hAnsi="Arial" w:cs="Arial"/>
        </w:rPr>
      </w:pPr>
      <w:r w:rsidRPr="00121D98">
        <w:rPr>
          <w:rFonts w:ascii="Arial" w:hAnsi="Arial" w:cs="Arial"/>
        </w:rPr>
        <w:t>(...)</w:t>
      </w:r>
    </w:p>
    <w:p w:rsidR="00B25130" w:rsidRPr="00121D98" w:rsidRDefault="00B25130" w:rsidP="00121D98">
      <w:pPr>
        <w:pStyle w:val="centrar"/>
        <w:jc w:val="both"/>
        <w:rPr>
          <w:rFonts w:ascii="Arial" w:hAnsi="Arial" w:cs="Arial"/>
        </w:rPr>
      </w:pPr>
      <w:r w:rsidRPr="00121D98">
        <w:rPr>
          <w:rFonts w:ascii="Arial" w:hAnsi="Arial" w:cs="Arial"/>
        </w:rPr>
        <w:t>Transitorio</w:t>
      </w:r>
    </w:p>
    <w:p w:rsidR="00B25130" w:rsidRPr="00121D98" w:rsidRDefault="00B25130" w:rsidP="00121D98">
      <w:pPr>
        <w:pStyle w:val="NormalWeb"/>
        <w:jc w:val="both"/>
        <w:rPr>
          <w:rFonts w:ascii="Arial" w:hAnsi="Arial" w:cs="Arial"/>
        </w:rPr>
      </w:pPr>
      <w:r w:rsidRPr="00121D98">
        <w:rPr>
          <w:rStyle w:val="negritas"/>
          <w:rFonts w:ascii="Arial" w:hAnsi="Arial" w:cs="Arial"/>
        </w:rPr>
        <w:t>Único.</w:t>
      </w:r>
      <w:r w:rsidRPr="00121D98">
        <w:rPr>
          <w:rFonts w:ascii="Arial" w:hAnsi="Arial" w:cs="Arial"/>
        </w:rPr>
        <w:t xml:space="preserve"> El presente decreto entrará en vigor al día siguiente de su publicación en el Diario Oficial de la Federación. </w:t>
      </w:r>
    </w:p>
    <w:p w:rsidR="00B25130" w:rsidRPr="00121D98" w:rsidRDefault="00B25130" w:rsidP="00121D98">
      <w:pPr>
        <w:pStyle w:val="firmas"/>
        <w:jc w:val="both"/>
        <w:rPr>
          <w:rFonts w:ascii="Arial" w:hAnsi="Arial" w:cs="Arial"/>
        </w:rPr>
      </w:pPr>
      <w:r w:rsidRPr="00121D98">
        <w:rPr>
          <w:rStyle w:val="negritas"/>
          <w:rFonts w:ascii="Arial" w:hAnsi="Arial" w:cs="Arial"/>
        </w:rPr>
        <w:lastRenderedPageBreak/>
        <w:t xml:space="preserve">Nota </w:t>
      </w:r>
    </w:p>
    <w:p w:rsidR="00B25130" w:rsidRPr="00121D98" w:rsidRDefault="00B25130" w:rsidP="00121D98">
      <w:pPr>
        <w:pStyle w:val="firmas"/>
        <w:jc w:val="both"/>
        <w:rPr>
          <w:rFonts w:ascii="Arial" w:hAnsi="Arial" w:cs="Arial"/>
        </w:rPr>
      </w:pPr>
      <w:r w:rsidRPr="00121D98">
        <w:rPr>
          <w:rFonts w:ascii="Arial" w:hAnsi="Arial" w:cs="Arial"/>
        </w:rPr>
        <w:t>1 http://www.cnnexpansion.com/economia/2010/07/09/credito-morosidad-impag os-</w:t>
      </w:r>
      <w:proofErr w:type="spellStart"/>
      <w:r w:rsidRPr="00121D98">
        <w:rPr>
          <w:rFonts w:ascii="Arial" w:hAnsi="Arial" w:cs="Arial"/>
        </w:rPr>
        <w:t>cnnexpansion</w:t>
      </w:r>
      <w:proofErr w:type="spellEnd"/>
      <w:r w:rsidRPr="00121D98">
        <w:rPr>
          <w:rFonts w:ascii="Arial" w:hAnsi="Arial" w:cs="Arial"/>
        </w:rPr>
        <w:t>. (5 de marzo de 2011).</w:t>
      </w:r>
    </w:p>
    <w:p w:rsidR="00B25130" w:rsidRPr="00121D98" w:rsidRDefault="00B25130" w:rsidP="00121D98">
      <w:pPr>
        <w:pStyle w:val="derecha"/>
        <w:jc w:val="both"/>
        <w:rPr>
          <w:rFonts w:ascii="Arial" w:hAnsi="Arial" w:cs="Arial"/>
        </w:rPr>
      </w:pPr>
      <w:r w:rsidRPr="00121D98">
        <w:rPr>
          <w:rFonts w:ascii="Arial" w:hAnsi="Arial" w:cs="Arial"/>
        </w:rPr>
        <w:t xml:space="preserve">Dado en el Salón de Sesiones de la Cámara de Diputados a los 09 días del mes de octubre de 2012. </w:t>
      </w:r>
    </w:p>
    <w:p w:rsidR="00B25130" w:rsidRPr="00121D98" w:rsidRDefault="00B25130" w:rsidP="00121D98">
      <w:pPr>
        <w:pStyle w:val="atentamente"/>
        <w:jc w:val="both"/>
        <w:rPr>
          <w:rFonts w:ascii="Arial" w:hAnsi="Arial" w:cs="Arial"/>
        </w:rPr>
      </w:pPr>
      <w:r w:rsidRPr="00121D98">
        <w:rPr>
          <w:rFonts w:ascii="Arial" w:hAnsi="Arial" w:cs="Arial"/>
        </w:rPr>
        <w:t>Diputado Ricardo Monreal Ávila (rúbrica)</w:t>
      </w:r>
    </w:p>
    <w:p w:rsidR="008068BD" w:rsidRPr="00121D98" w:rsidRDefault="00121D98" w:rsidP="00121D98">
      <w:pPr>
        <w:jc w:val="both"/>
        <w:rPr>
          <w:rFonts w:ascii="Arial" w:hAnsi="Arial" w:cs="Arial"/>
        </w:rPr>
      </w:pPr>
    </w:p>
    <w:sectPr w:rsidR="008068BD" w:rsidRPr="00121D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30"/>
    <w:rsid w:val="00121D98"/>
    <w:rsid w:val="00B25130"/>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B25130"/>
  </w:style>
  <w:style w:type="character" w:customStyle="1" w:styleId="superscript">
    <w:name w:val="superscript"/>
    <w:basedOn w:val="Fuentedeprrafopredeter"/>
    <w:rsid w:val="00B25130"/>
  </w:style>
  <w:style w:type="paragraph" w:customStyle="1" w:styleId="firmas">
    <w:name w:val="firmas"/>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B25130"/>
  </w:style>
  <w:style w:type="character" w:customStyle="1" w:styleId="superscript">
    <w:name w:val="superscript"/>
    <w:basedOn w:val="Fuentedeprrafopredeter"/>
    <w:rsid w:val="00B25130"/>
  </w:style>
  <w:style w:type="paragraph" w:customStyle="1" w:styleId="firmas">
    <w:name w:val="firmas"/>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B2513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49828">
      <w:bodyDiv w:val="1"/>
      <w:marLeft w:val="0"/>
      <w:marRight w:val="0"/>
      <w:marTop w:val="0"/>
      <w:marBottom w:val="0"/>
      <w:divBdr>
        <w:top w:val="none" w:sz="0" w:space="0" w:color="auto"/>
        <w:left w:val="none" w:sz="0" w:space="0" w:color="auto"/>
        <w:bottom w:val="none" w:sz="0" w:space="0" w:color="auto"/>
        <w:right w:val="none" w:sz="0" w:space="0" w:color="auto"/>
      </w:divBdr>
      <w:divsChild>
        <w:div w:id="1481001417">
          <w:marLeft w:val="0"/>
          <w:marRight w:val="0"/>
          <w:marTop w:val="0"/>
          <w:marBottom w:val="0"/>
          <w:divBdr>
            <w:top w:val="none" w:sz="0" w:space="0" w:color="auto"/>
            <w:left w:val="none" w:sz="0" w:space="0" w:color="auto"/>
            <w:bottom w:val="none" w:sz="0" w:space="0" w:color="auto"/>
            <w:right w:val="none" w:sz="0" w:space="0" w:color="auto"/>
          </w:divBdr>
          <w:divsChild>
            <w:div w:id="223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2012-10-12T18:30:00Z</dcterms:created>
  <dcterms:modified xsi:type="dcterms:W3CDTF">2012-10-12T22:00:00Z</dcterms:modified>
</cp:coreProperties>
</file>