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47" w:rsidRPr="0083797B" w:rsidRDefault="00E90747" w:rsidP="0083797B">
      <w:pPr>
        <w:pStyle w:val="versales"/>
        <w:jc w:val="both"/>
        <w:rPr>
          <w:rFonts w:ascii="Arial" w:hAnsi="Arial" w:cs="Arial"/>
        </w:rPr>
      </w:pPr>
      <w:bookmarkStart w:id="0" w:name="_GoBack"/>
      <w:r w:rsidRPr="0083797B">
        <w:rPr>
          <w:rFonts w:ascii="Arial" w:hAnsi="Arial" w:cs="Arial"/>
        </w:rPr>
        <w:t xml:space="preserve">Que reforma el artículo 127 de la Constitución Política de los Estados Unidos Mexicanos, a cargo del diputado Martín Alonso Heredia Lizárraga, del Grupo Parlamentario del PAN </w:t>
      </w:r>
    </w:p>
    <w:bookmarkEnd w:id="0"/>
    <w:p w:rsidR="00E90747" w:rsidRPr="0083797B" w:rsidRDefault="00E90747" w:rsidP="0083797B">
      <w:pPr>
        <w:pStyle w:val="NormalWeb"/>
        <w:jc w:val="both"/>
        <w:rPr>
          <w:rFonts w:ascii="Arial" w:hAnsi="Arial" w:cs="Arial"/>
        </w:rPr>
      </w:pPr>
      <w:r w:rsidRPr="0083797B">
        <w:rPr>
          <w:rFonts w:ascii="Arial" w:hAnsi="Arial" w:cs="Arial"/>
        </w:rPr>
        <w:t>Martín Alonso Heredia Lizárraga, diputado federal por Sinaloa e integrante del Grupo Parlamentario del Partido Acción Nacional en la LXII Legislatura, con fundamento en lo dispuesto en las fracciones II del artículo 71 de la Constitución Política de los Estados Unidos Mexicanos y I del artículo 6 del Reglamento de la Cámara de Diputados, pone a la consideración de esta asamblea iniciativa con proyecto de decreto que adiciona un párrafo segundo a la fracción II del artículo 127 de la Constitución Política de los Estados Unidos Mexicanos, con base en la siguiente</w:t>
      </w:r>
    </w:p>
    <w:p w:rsidR="00E90747" w:rsidRPr="0083797B" w:rsidRDefault="00E90747" w:rsidP="0083797B">
      <w:pPr>
        <w:pStyle w:val="centrar"/>
        <w:jc w:val="both"/>
        <w:rPr>
          <w:rFonts w:ascii="Arial" w:hAnsi="Arial" w:cs="Arial"/>
        </w:rPr>
      </w:pPr>
      <w:r w:rsidRPr="0083797B">
        <w:rPr>
          <w:rFonts w:ascii="Arial" w:hAnsi="Arial" w:cs="Arial"/>
        </w:rPr>
        <w:t>Exposición de Motivos</w:t>
      </w:r>
    </w:p>
    <w:p w:rsidR="00E90747" w:rsidRPr="0083797B" w:rsidRDefault="00E90747" w:rsidP="0083797B">
      <w:pPr>
        <w:pStyle w:val="NormalWeb"/>
        <w:jc w:val="both"/>
        <w:rPr>
          <w:rFonts w:ascii="Arial" w:hAnsi="Arial" w:cs="Arial"/>
        </w:rPr>
      </w:pPr>
      <w:r w:rsidRPr="0083797B">
        <w:rPr>
          <w:rFonts w:ascii="Arial" w:hAnsi="Arial" w:cs="Arial"/>
        </w:rPr>
        <w:t>Las circunstancias económicas actuales que vive el país nos obligan a una revisión constante del marco normativo del desempeño de la función pública y, con ello, evitar el abuso del poder en la asignación de remuneraciones, procurar la transparencia en el ejercicio de la gestión gubernamental, la conservación del equilibrio y equidad presupuestal de los recursos públicos en los tres órdenes de gobierno y los organismos autónomos, toda vez que su regulación es piedra angular en un estado de derecho.</w:t>
      </w:r>
    </w:p>
    <w:p w:rsidR="00E90747" w:rsidRPr="0083797B" w:rsidRDefault="00E90747" w:rsidP="0083797B">
      <w:pPr>
        <w:pStyle w:val="NormalWeb"/>
        <w:jc w:val="both"/>
        <w:rPr>
          <w:rFonts w:ascii="Arial" w:hAnsi="Arial" w:cs="Arial"/>
        </w:rPr>
      </w:pPr>
      <w:r w:rsidRPr="0083797B">
        <w:rPr>
          <w:rFonts w:ascii="Arial" w:hAnsi="Arial" w:cs="Arial"/>
        </w:rPr>
        <w:t>Resulta oportuno instaurar los instrumentos jurídicos necesarios que permitan establecer los lineamientos sobre los cuales deberá basarse la determinación de la remuneración atribuida al servidor público, la cual deberá considerar las responsabilidades y las funciones que realice por el ejercicio del empleo, cargo o comisión. No obstante, es bien conocida por la sociedad mexicana la existencia de sueldos excesivos y escandalosos de muchos servidores públicos federales, estatales y municipales. Incluso, en comparaciones internacionales con los países más ricos del mundo, México se encuentra entre los que mejor pagan a quienes desempeñan altos cargos en el Estado.</w:t>
      </w:r>
    </w:p>
    <w:p w:rsidR="00E90747" w:rsidRPr="0083797B" w:rsidRDefault="00E90747" w:rsidP="0083797B">
      <w:pPr>
        <w:pStyle w:val="NormalWeb"/>
        <w:jc w:val="both"/>
        <w:rPr>
          <w:rFonts w:ascii="Arial" w:hAnsi="Arial" w:cs="Arial"/>
        </w:rPr>
      </w:pPr>
      <w:r w:rsidRPr="0083797B">
        <w:rPr>
          <w:rFonts w:ascii="Arial" w:hAnsi="Arial" w:cs="Arial"/>
        </w:rPr>
        <w:t>La presente iniciativa tiene como propósito primordial destacar que debe prevalecer un principio de proporcionalidad y que por norma lógica las remuneraciones que reciban los servidores públicos por su desempeño debe responder a criterios del grado de responsabilidad y nivel jerárquico, de tal forma que en ningún caso a un funcionario público podrá corresponder una remuneración igual o mayor que la del superior jerárquico.</w:t>
      </w:r>
    </w:p>
    <w:p w:rsidR="00E90747" w:rsidRPr="0083797B" w:rsidRDefault="00E90747" w:rsidP="0083797B">
      <w:pPr>
        <w:pStyle w:val="NormalWeb"/>
        <w:jc w:val="both"/>
        <w:rPr>
          <w:rFonts w:ascii="Arial" w:hAnsi="Arial" w:cs="Arial"/>
        </w:rPr>
      </w:pPr>
      <w:r w:rsidRPr="0083797B">
        <w:rPr>
          <w:rFonts w:ascii="Arial" w:hAnsi="Arial" w:cs="Arial"/>
        </w:rPr>
        <w:t>Igualmente, con la presente iniciativa se propone que el texto de la Constitución sea congruente en todas sus partes, no debe contradecirse entre sí y todas sus disposiciones deben complementarse y adecuarse. Por ello se plantea que sea coincidente en lo señalado en la fracción II del propio artículo 127 constitucional, respecto a que ningún servidor público podrá recibir remuneración mayor que la establecida para el presidente de la República.</w:t>
      </w:r>
    </w:p>
    <w:p w:rsidR="00E90747" w:rsidRPr="0083797B" w:rsidRDefault="00E90747" w:rsidP="0083797B">
      <w:pPr>
        <w:pStyle w:val="NormalWeb"/>
        <w:jc w:val="both"/>
        <w:rPr>
          <w:rFonts w:ascii="Arial" w:hAnsi="Arial" w:cs="Arial"/>
        </w:rPr>
      </w:pPr>
      <w:r w:rsidRPr="0083797B">
        <w:rPr>
          <w:rFonts w:ascii="Arial" w:hAnsi="Arial" w:cs="Arial"/>
        </w:rPr>
        <w:lastRenderedPageBreak/>
        <w:t>Por ello, de igual manera se plantea que en los estados de la federación ningún presidente municipal o funcionario de la administración pública de un gobierno estatal o municipal pueda obtener por el encargo una remuneración mayor que la del gobernador en turno.</w:t>
      </w:r>
    </w:p>
    <w:p w:rsidR="00E90747" w:rsidRPr="0083797B" w:rsidRDefault="00E90747" w:rsidP="0083797B">
      <w:pPr>
        <w:pStyle w:val="NormalWeb"/>
        <w:jc w:val="both"/>
        <w:rPr>
          <w:rFonts w:ascii="Arial" w:hAnsi="Arial" w:cs="Arial"/>
        </w:rPr>
      </w:pPr>
      <w:r w:rsidRPr="0083797B">
        <w:rPr>
          <w:rFonts w:ascii="Arial" w:hAnsi="Arial" w:cs="Arial"/>
        </w:rPr>
        <w:t>En realidad, el establecimiento de un tope máximo en los sueldos es indispensable debido a que hay una desproporción entre los salarios de los altos funcionarios del Estado mexicano y la situación de la economía nacional, pues en numerosas dependencias federales o estatales y, particularmente, en alcaldías municipales el sueldo es adicionado con otras percepciones que también se deciden con absoluta discrecionalidad.</w:t>
      </w:r>
    </w:p>
    <w:p w:rsidR="00E90747" w:rsidRPr="0083797B" w:rsidRDefault="00E90747" w:rsidP="0083797B">
      <w:pPr>
        <w:pStyle w:val="NormalWeb"/>
        <w:jc w:val="both"/>
        <w:rPr>
          <w:rFonts w:ascii="Arial" w:hAnsi="Arial" w:cs="Arial"/>
        </w:rPr>
      </w:pPr>
      <w:r w:rsidRPr="0083797B">
        <w:rPr>
          <w:rFonts w:ascii="Arial" w:hAnsi="Arial" w:cs="Arial"/>
        </w:rPr>
        <w:t>Por ejemplo, recientemente la Asociación Civil Iniciativa Sinaloa presentó los resultados del estudio Sueldo de los 18 alcaldes de Sinaloa: de la opacidad a la falta de regulación, los cuales indignan al ciudadano y, por supuesto, también nos ponen como legisladores en una situación de alerta para tratar de impulsar propuestas de ley que ayuden a regular los sueldos de los funcionarios y que sean confiables y transparentes.</w:t>
      </w:r>
    </w:p>
    <w:p w:rsidR="00E90747" w:rsidRPr="0083797B" w:rsidRDefault="00E90747" w:rsidP="0083797B">
      <w:pPr>
        <w:pStyle w:val="NormalWeb"/>
        <w:jc w:val="both"/>
        <w:rPr>
          <w:rFonts w:ascii="Arial" w:hAnsi="Arial" w:cs="Arial"/>
        </w:rPr>
      </w:pPr>
      <w:r w:rsidRPr="0083797B">
        <w:rPr>
          <w:rFonts w:ascii="Arial" w:hAnsi="Arial" w:cs="Arial"/>
        </w:rPr>
        <w:t xml:space="preserve">Cita el estudio que ciertos alcaldes perciben mayores emolumentos que el propio gobernador de Sinaloa. Cabe mencionar que </w:t>
      </w:r>
      <w:proofErr w:type="spellStart"/>
      <w:r w:rsidRPr="0083797B">
        <w:rPr>
          <w:rFonts w:ascii="Arial" w:hAnsi="Arial" w:cs="Arial"/>
        </w:rPr>
        <w:t>Badiraguato</w:t>
      </w:r>
      <w:proofErr w:type="spellEnd"/>
      <w:r w:rsidRPr="0083797B">
        <w:rPr>
          <w:rFonts w:ascii="Arial" w:hAnsi="Arial" w:cs="Arial"/>
        </w:rPr>
        <w:t xml:space="preserve"> está entre los municipios más marginados del país, y su alcalde gana cerca de 113 mil pesos al mes.</w:t>
      </w:r>
    </w:p>
    <w:p w:rsidR="00E90747" w:rsidRPr="0083797B" w:rsidRDefault="00E90747" w:rsidP="0083797B">
      <w:pPr>
        <w:pStyle w:val="NormalWeb"/>
        <w:jc w:val="both"/>
        <w:rPr>
          <w:rFonts w:ascii="Arial" w:hAnsi="Arial" w:cs="Arial"/>
        </w:rPr>
      </w:pPr>
      <w:r w:rsidRPr="0083797B">
        <w:rPr>
          <w:rFonts w:ascii="Arial" w:hAnsi="Arial" w:cs="Arial"/>
        </w:rPr>
        <w:t>Sin duda, la dignificación de la función pública atraviesa por la revisión de sueldos adecuados y transparentes, que no sean aumentados a través de apariencias administrativas, las cuales se convierten en canonjías y privilegios.</w:t>
      </w:r>
    </w:p>
    <w:p w:rsidR="00E90747" w:rsidRPr="0083797B" w:rsidRDefault="00E90747" w:rsidP="0083797B">
      <w:pPr>
        <w:pStyle w:val="NormalWeb"/>
        <w:jc w:val="both"/>
        <w:rPr>
          <w:rFonts w:ascii="Arial" w:hAnsi="Arial" w:cs="Arial"/>
        </w:rPr>
      </w:pPr>
      <w:r w:rsidRPr="0083797B">
        <w:rPr>
          <w:rFonts w:ascii="Arial" w:hAnsi="Arial" w:cs="Arial"/>
        </w:rPr>
        <w:t>Para establecer la base de una política de sueldos de carácter nacional es preciso modificar la Constitución, como única vía para lograr que estados y municipios acaten un tope máximo de percepciones.</w:t>
      </w:r>
    </w:p>
    <w:p w:rsidR="00E90747" w:rsidRPr="0083797B" w:rsidRDefault="00E90747" w:rsidP="0083797B">
      <w:pPr>
        <w:pStyle w:val="NormalWeb"/>
        <w:jc w:val="both"/>
        <w:rPr>
          <w:rFonts w:ascii="Arial" w:hAnsi="Arial" w:cs="Arial"/>
        </w:rPr>
      </w:pPr>
      <w:r w:rsidRPr="0083797B">
        <w:rPr>
          <w:rFonts w:ascii="Arial" w:hAnsi="Arial" w:cs="Arial"/>
        </w:rPr>
        <w:t>Por lo expuesto someto a consideración del pleno de la Cámara de Diputados del Congreso de la Unión la siguiente iniciativa con proyecto de</w:t>
      </w:r>
    </w:p>
    <w:p w:rsidR="00E90747" w:rsidRPr="0083797B" w:rsidRDefault="00E90747" w:rsidP="0083797B">
      <w:pPr>
        <w:pStyle w:val="NormalWeb"/>
        <w:jc w:val="both"/>
        <w:rPr>
          <w:rFonts w:ascii="Arial" w:hAnsi="Arial" w:cs="Arial"/>
        </w:rPr>
      </w:pPr>
      <w:r w:rsidRPr="0083797B">
        <w:rPr>
          <w:rStyle w:val="negritas"/>
          <w:rFonts w:ascii="Arial" w:hAnsi="Arial" w:cs="Arial"/>
        </w:rPr>
        <w:t>Decreto que adiciona un segundo y tercer párrafos a la fracción II del artículo 127 de la Constitución Política de los Estados Unidos Mexicanos</w:t>
      </w:r>
    </w:p>
    <w:p w:rsidR="00E90747" w:rsidRPr="0083797B" w:rsidRDefault="00E90747" w:rsidP="0083797B">
      <w:pPr>
        <w:pStyle w:val="NormalWeb"/>
        <w:jc w:val="both"/>
        <w:rPr>
          <w:rFonts w:ascii="Arial" w:hAnsi="Arial" w:cs="Arial"/>
        </w:rPr>
      </w:pPr>
      <w:r w:rsidRPr="0083797B">
        <w:rPr>
          <w:rStyle w:val="negritas"/>
          <w:rFonts w:ascii="Arial" w:hAnsi="Arial" w:cs="Arial"/>
        </w:rPr>
        <w:t xml:space="preserve">Artículo Único. </w:t>
      </w:r>
      <w:r w:rsidRPr="0083797B">
        <w:rPr>
          <w:rFonts w:ascii="Arial" w:hAnsi="Arial" w:cs="Arial"/>
        </w:rPr>
        <w:t>Se adicionan un segundo y tercer párrafos a la fracción II del artículo 127 de la Constitución Política de los Estados Unidos Mexicanos, para quedar como sigue:</w:t>
      </w:r>
    </w:p>
    <w:p w:rsidR="00E90747" w:rsidRPr="0083797B" w:rsidRDefault="00E90747" w:rsidP="0083797B">
      <w:pPr>
        <w:pStyle w:val="NormalWeb"/>
        <w:jc w:val="both"/>
        <w:rPr>
          <w:rFonts w:ascii="Arial" w:hAnsi="Arial" w:cs="Arial"/>
        </w:rPr>
      </w:pPr>
      <w:r w:rsidRPr="0083797B">
        <w:rPr>
          <w:rStyle w:val="negritas"/>
          <w:rFonts w:ascii="Arial" w:hAnsi="Arial" w:cs="Arial"/>
        </w:rPr>
        <w:t>Artículo 127.</w:t>
      </w:r>
      <w:r w:rsidRPr="0083797B">
        <w:rPr>
          <w:rFonts w:ascii="Arial" w:hAnsi="Arial" w:cs="Arial"/>
        </w:rPr>
        <w:t xml:space="preserve"> ...</w:t>
      </w:r>
    </w:p>
    <w:p w:rsidR="00E90747" w:rsidRPr="0083797B" w:rsidRDefault="00E90747" w:rsidP="0083797B">
      <w:pPr>
        <w:pStyle w:val="NormalWeb"/>
        <w:jc w:val="both"/>
        <w:rPr>
          <w:rFonts w:ascii="Arial" w:hAnsi="Arial" w:cs="Arial"/>
        </w:rPr>
      </w:pPr>
      <w:r w:rsidRPr="0083797B">
        <w:rPr>
          <w:rFonts w:ascii="Arial" w:hAnsi="Arial" w:cs="Arial"/>
        </w:rPr>
        <w:t>...</w:t>
      </w:r>
    </w:p>
    <w:p w:rsidR="00E90747" w:rsidRPr="0083797B" w:rsidRDefault="00E90747" w:rsidP="0083797B">
      <w:pPr>
        <w:pStyle w:val="sangria"/>
        <w:jc w:val="both"/>
        <w:rPr>
          <w:rFonts w:ascii="Arial" w:hAnsi="Arial" w:cs="Arial"/>
        </w:rPr>
      </w:pPr>
      <w:r w:rsidRPr="0083797B">
        <w:rPr>
          <w:rStyle w:val="negritas"/>
          <w:rFonts w:ascii="Arial" w:hAnsi="Arial" w:cs="Arial"/>
        </w:rPr>
        <w:lastRenderedPageBreak/>
        <w:t>I.</w:t>
      </w:r>
      <w:r w:rsidRPr="0083797B">
        <w:rPr>
          <w:rFonts w:ascii="Arial" w:hAnsi="Arial" w:cs="Arial"/>
        </w:rPr>
        <w:t xml:space="preserve"> y </w:t>
      </w:r>
      <w:r w:rsidRPr="0083797B">
        <w:rPr>
          <w:rStyle w:val="negritas"/>
          <w:rFonts w:ascii="Arial" w:hAnsi="Arial" w:cs="Arial"/>
        </w:rPr>
        <w:t>II.</w:t>
      </w:r>
      <w:r w:rsidRPr="0083797B">
        <w:rPr>
          <w:rFonts w:ascii="Arial" w:hAnsi="Arial" w:cs="Arial"/>
        </w:rPr>
        <w:t xml:space="preserve"> ...</w:t>
      </w:r>
    </w:p>
    <w:p w:rsidR="00E90747" w:rsidRPr="0083797B" w:rsidRDefault="00E90747" w:rsidP="0083797B">
      <w:pPr>
        <w:pStyle w:val="sangria"/>
        <w:jc w:val="both"/>
        <w:rPr>
          <w:rFonts w:ascii="Arial" w:hAnsi="Arial" w:cs="Arial"/>
        </w:rPr>
      </w:pPr>
      <w:r w:rsidRPr="0083797B">
        <w:rPr>
          <w:rStyle w:val="negritas"/>
          <w:rFonts w:ascii="Arial" w:hAnsi="Arial" w:cs="Arial"/>
        </w:rPr>
        <w:t>En el caso de los estados o el Distrito Federal, ningún servidor público podrá recibir una remuneración igual o mayor que la del gobernador o jefe del gobierno, según se trate.</w:t>
      </w:r>
    </w:p>
    <w:p w:rsidR="00E90747" w:rsidRPr="0083797B" w:rsidRDefault="00E90747" w:rsidP="0083797B">
      <w:pPr>
        <w:pStyle w:val="sangria"/>
        <w:jc w:val="both"/>
        <w:rPr>
          <w:rFonts w:ascii="Arial" w:hAnsi="Arial" w:cs="Arial"/>
        </w:rPr>
      </w:pPr>
      <w:r w:rsidRPr="0083797B">
        <w:rPr>
          <w:rStyle w:val="negritas"/>
          <w:rFonts w:ascii="Arial" w:hAnsi="Arial" w:cs="Arial"/>
        </w:rPr>
        <w:t>Para el caso de las remuneraciones de los presidentes municipales o titulares de los órganos político-administrativos a que se refiere el artículo 122 de esta Constitución, en ningún caso la remuneración podrá ser igual o mayor que la del titular del Ejecutivo de la entidad federativa que corresponda.</w:t>
      </w:r>
    </w:p>
    <w:p w:rsidR="00E90747" w:rsidRPr="0083797B" w:rsidRDefault="00E90747" w:rsidP="0083797B">
      <w:pPr>
        <w:pStyle w:val="sangria"/>
        <w:jc w:val="both"/>
        <w:rPr>
          <w:rFonts w:ascii="Arial" w:hAnsi="Arial" w:cs="Arial"/>
        </w:rPr>
      </w:pPr>
      <w:r w:rsidRPr="0083797B">
        <w:rPr>
          <w:rStyle w:val="negritas"/>
          <w:rFonts w:ascii="Arial" w:hAnsi="Arial" w:cs="Arial"/>
        </w:rPr>
        <w:t>III.</w:t>
      </w:r>
      <w:r w:rsidRPr="0083797B">
        <w:rPr>
          <w:rFonts w:ascii="Arial" w:hAnsi="Arial" w:cs="Arial"/>
        </w:rPr>
        <w:t xml:space="preserve"> a </w:t>
      </w:r>
      <w:r w:rsidRPr="0083797B">
        <w:rPr>
          <w:rStyle w:val="negritas"/>
          <w:rFonts w:ascii="Arial" w:hAnsi="Arial" w:cs="Arial"/>
        </w:rPr>
        <w:t>VI.</w:t>
      </w:r>
      <w:r w:rsidRPr="0083797B">
        <w:rPr>
          <w:rFonts w:ascii="Arial" w:hAnsi="Arial" w:cs="Arial"/>
        </w:rPr>
        <w:t xml:space="preserve"> ...</w:t>
      </w:r>
    </w:p>
    <w:p w:rsidR="00E90747" w:rsidRPr="0083797B" w:rsidRDefault="00E90747" w:rsidP="0083797B">
      <w:pPr>
        <w:pStyle w:val="centrar"/>
        <w:jc w:val="both"/>
        <w:rPr>
          <w:rFonts w:ascii="Arial" w:hAnsi="Arial" w:cs="Arial"/>
        </w:rPr>
      </w:pPr>
      <w:r w:rsidRPr="0083797B">
        <w:rPr>
          <w:rFonts w:ascii="Arial" w:hAnsi="Arial" w:cs="Arial"/>
        </w:rPr>
        <w:t>Transitorios</w:t>
      </w:r>
    </w:p>
    <w:p w:rsidR="00E90747" w:rsidRPr="0083797B" w:rsidRDefault="00E90747" w:rsidP="0083797B">
      <w:pPr>
        <w:pStyle w:val="NormalWeb"/>
        <w:jc w:val="both"/>
        <w:rPr>
          <w:rFonts w:ascii="Arial" w:hAnsi="Arial" w:cs="Arial"/>
        </w:rPr>
      </w:pPr>
      <w:r w:rsidRPr="0083797B">
        <w:rPr>
          <w:rStyle w:val="negritas"/>
          <w:rFonts w:ascii="Arial" w:hAnsi="Arial" w:cs="Arial"/>
        </w:rPr>
        <w:t>Primero.</w:t>
      </w:r>
      <w:r w:rsidRPr="0083797B">
        <w:rPr>
          <w:rFonts w:ascii="Arial" w:hAnsi="Arial" w:cs="Arial"/>
        </w:rPr>
        <w:t xml:space="preserve"> El presente decreto entrará en vigor el 1 de enero de 2013.</w:t>
      </w:r>
    </w:p>
    <w:p w:rsidR="00E90747" w:rsidRPr="0083797B" w:rsidRDefault="00E90747" w:rsidP="0083797B">
      <w:pPr>
        <w:pStyle w:val="NormalWeb"/>
        <w:jc w:val="both"/>
        <w:rPr>
          <w:rFonts w:ascii="Arial" w:hAnsi="Arial" w:cs="Arial"/>
        </w:rPr>
      </w:pPr>
      <w:r w:rsidRPr="0083797B">
        <w:rPr>
          <w:rStyle w:val="negritas"/>
          <w:rFonts w:ascii="Arial" w:hAnsi="Arial" w:cs="Arial"/>
        </w:rPr>
        <w:t>Segundo.</w:t>
      </w:r>
      <w:r w:rsidRPr="0083797B">
        <w:rPr>
          <w:rFonts w:ascii="Arial" w:hAnsi="Arial" w:cs="Arial"/>
        </w:rPr>
        <w:t xml:space="preserve"> Se derogan todas las disposiciones que se opongan al presente decreto.</w:t>
      </w:r>
    </w:p>
    <w:p w:rsidR="00E90747" w:rsidRPr="0083797B" w:rsidRDefault="00E90747" w:rsidP="0083797B">
      <w:pPr>
        <w:pStyle w:val="NormalWeb"/>
        <w:jc w:val="both"/>
        <w:rPr>
          <w:rFonts w:ascii="Arial" w:hAnsi="Arial" w:cs="Arial"/>
        </w:rPr>
      </w:pPr>
      <w:r w:rsidRPr="0083797B">
        <w:rPr>
          <w:rFonts w:ascii="Arial" w:hAnsi="Arial" w:cs="Arial"/>
        </w:rPr>
        <w:t>Palacio Legislativo de San Lázaro, sede de la Cámara de Diputados del Congreso de la Unión, a 2 de octubre de 2012.</w:t>
      </w:r>
    </w:p>
    <w:p w:rsidR="00E90747" w:rsidRPr="0083797B" w:rsidRDefault="00E90747" w:rsidP="0083797B">
      <w:pPr>
        <w:pStyle w:val="atentamente"/>
        <w:jc w:val="both"/>
        <w:rPr>
          <w:rFonts w:ascii="Arial" w:hAnsi="Arial" w:cs="Arial"/>
        </w:rPr>
      </w:pPr>
      <w:r w:rsidRPr="0083797B">
        <w:rPr>
          <w:rFonts w:ascii="Arial" w:hAnsi="Arial" w:cs="Arial"/>
        </w:rPr>
        <w:t>Diputado Martín Alonso Heredia Lizárraga (rúbrica)</w:t>
      </w:r>
    </w:p>
    <w:p w:rsidR="008068BD" w:rsidRPr="0083797B" w:rsidRDefault="0083797B" w:rsidP="0083797B">
      <w:pPr>
        <w:jc w:val="both"/>
        <w:rPr>
          <w:rFonts w:ascii="Arial" w:hAnsi="Arial" w:cs="Arial"/>
        </w:rPr>
      </w:pPr>
    </w:p>
    <w:sectPr w:rsidR="008068BD" w:rsidRPr="008379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47"/>
    <w:rsid w:val="0083797B"/>
    <w:rsid w:val="00B4687E"/>
    <w:rsid w:val="00E90747"/>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E907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907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E9074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90747"/>
  </w:style>
  <w:style w:type="paragraph" w:customStyle="1" w:styleId="sangria">
    <w:name w:val="sangria"/>
    <w:basedOn w:val="Normal"/>
    <w:rsid w:val="00E907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E9074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E907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907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E9074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90747"/>
  </w:style>
  <w:style w:type="paragraph" w:customStyle="1" w:styleId="sangria">
    <w:name w:val="sangria"/>
    <w:basedOn w:val="Normal"/>
    <w:rsid w:val="00E907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E9074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4662">
      <w:bodyDiv w:val="1"/>
      <w:marLeft w:val="0"/>
      <w:marRight w:val="0"/>
      <w:marTop w:val="0"/>
      <w:marBottom w:val="0"/>
      <w:divBdr>
        <w:top w:val="none" w:sz="0" w:space="0" w:color="auto"/>
        <w:left w:val="none" w:sz="0" w:space="0" w:color="auto"/>
        <w:bottom w:val="none" w:sz="0" w:space="0" w:color="auto"/>
        <w:right w:val="none" w:sz="0" w:space="0" w:color="auto"/>
      </w:divBdr>
      <w:divsChild>
        <w:div w:id="2145200381">
          <w:marLeft w:val="0"/>
          <w:marRight w:val="0"/>
          <w:marTop w:val="0"/>
          <w:marBottom w:val="0"/>
          <w:divBdr>
            <w:top w:val="none" w:sz="0" w:space="0" w:color="auto"/>
            <w:left w:val="none" w:sz="0" w:space="0" w:color="auto"/>
            <w:bottom w:val="none" w:sz="0" w:space="0" w:color="auto"/>
            <w:right w:val="none" w:sz="0" w:space="0" w:color="auto"/>
          </w:divBdr>
          <w:divsChild>
            <w:div w:id="17885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910</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2012-10-12T17:55:00Z</dcterms:created>
  <dcterms:modified xsi:type="dcterms:W3CDTF">2012-10-12T21:52:00Z</dcterms:modified>
</cp:coreProperties>
</file>